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8F" w:rsidRDefault="009F28FA">
      <w:r>
        <w:rPr>
          <w:rFonts w:ascii="Times New Roman" w:hAnsi="Times New Roman"/>
          <w:noProof/>
          <w:sz w:val="44"/>
          <w:szCs w:val="44"/>
        </w:rPr>
        <mc:AlternateContent>
          <mc:Choice Requires="wps">
            <w:drawing>
              <wp:anchor distT="0" distB="0" distL="114300" distR="114300" simplePos="0" relativeHeight="251662336" behindDoc="0" locked="0" layoutInCell="1" allowOverlap="1">
                <wp:simplePos x="0" y="0"/>
                <wp:positionH relativeFrom="column">
                  <wp:posOffset>3119120</wp:posOffset>
                </wp:positionH>
                <wp:positionV relativeFrom="paragraph">
                  <wp:posOffset>101600</wp:posOffset>
                </wp:positionV>
                <wp:extent cx="457200" cy="685800"/>
                <wp:effectExtent l="4445" t="6350" r="5080" b="317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685800"/>
                        </a:xfrm>
                        <a:custGeom>
                          <a:avLst/>
                          <a:gdLst>
                            <a:gd name="T0" fmla="*/ 81 w 909"/>
                            <a:gd name="T1" fmla="*/ 43 h 1642"/>
                            <a:gd name="T2" fmla="*/ 68 w 909"/>
                            <a:gd name="T3" fmla="*/ 65 h 1642"/>
                            <a:gd name="T4" fmla="*/ 79 w 909"/>
                            <a:gd name="T5" fmla="*/ 109 h 1642"/>
                            <a:gd name="T6" fmla="*/ 44 w 909"/>
                            <a:gd name="T7" fmla="*/ 167 h 1642"/>
                            <a:gd name="T8" fmla="*/ 28 w 909"/>
                            <a:gd name="T9" fmla="*/ 194 h 1642"/>
                            <a:gd name="T10" fmla="*/ 0 w 909"/>
                            <a:gd name="T11" fmla="*/ 233 h 1642"/>
                            <a:gd name="T12" fmla="*/ 27 w 909"/>
                            <a:gd name="T13" fmla="*/ 291 h 1642"/>
                            <a:gd name="T14" fmla="*/ 34 w 909"/>
                            <a:gd name="T15" fmla="*/ 333 h 1642"/>
                            <a:gd name="T16" fmla="*/ 11 w 909"/>
                            <a:gd name="T17" fmla="*/ 392 h 1642"/>
                            <a:gd name="T18" fmla="*/ 22 w 909"/>
                            <a:gd name="T19" fmla="*/ 434 h 1642"/>
                            <a:gd name="T20" fmla="*/ 14 w 909"/>
                            <a:gd name="T21" fmla="*/ 470 h 1642"/>
                            <a:gd name="T22" fmla="*/ 53 w 909"/>
                            <a:gd name="T23" fmla="*/ 548 h 1642"/>
                            <a:gd name="T24" fmla="*/ 53 w 909"/>
                            <a:gd name="T25" fmla="*/ 613 h 1642"/>
                            <a:gd name="T26" fmla="*/ 80 w 909"/>
                            <a:gd name="T27" fmla="*/ 639 h 1642"/>
                            <a:gd name="T28" fmla="*/ 114 w 909"/>
                            <a:gd name="T29" fmla="*/ 619 h 1642"/>
                            <a:gd name="T30" fmla="*/ 155 w 909"/>
                            <a:gd name="T31" fmla="*/ 644 h 1642"/>
                            <a:gd name="T32" fmla="*/ 190 w 909"/>
                            <a:gd name="T33" fmla="*/ 650 h 1642"/>
                            <a:gd name="T34" fmla="*/ 182 w 909"/>
                            <a:gd name="T35" fmla="*/ 665 h 1642"/>
                            <a:gd name="T36" fmla="*/ 156 w 909"/>
                            <a:gd name="T37" fmla="*/ 656 h 1642"/>
                            <a:gd name="T38" fmla="*/ 110 w 909"/>
                            <a:gd name="T39" fmla="*/ 684 h 1642"/>
                            <a:gd name="T40" fmla="*/ 130 w 909"/>
                            <a:gd name="T41" fmla="*/ 718 h 1642"/>
                            <a:gd name="T42" fmla="*/ 90 w 909"/>
                            <a:gd name="T43" fmla="*/ 681 h 1642"/>
                            <a:gd name="T44" fmla="*/ 75 w 909"/>
                            <a:gd name="T45" fmla="*/ 704 h 1642"/>
                            <a:gd name="T46" fmla="*/ 83 w 909"/>
                            <a:gd name="T47" fmla="*/ 725 h 1642"/>
                            <a:gd name="T48" fmla="*/ 82 w 909"/>
                            <a:gd name="T49" fmla="*/ 775 h 1642"/>
                            <a:gd name="T50" fmla="*/ 109 w 909"/>
                            <a:gd name="T51" fmla="*/ 797 h 1642"/>
                            <a:gd name="T52" fmla="*/ 132 w 909"/>
                            <a:gd name="T53" fmla="*/ 833 h 1642"/>
                            <a:gd name="T54" fmla="*/ 106 w 909"/>
                            <a:gd name="T55" fmla="*/ 863 h 1642"/>
                            <a:gd name="T56" fmla="*/ 91 w 909"/>
                            <a:gd name="T57" fmla="*/ 887 h 1642"/>
                            <a:gd name="T58" fmla="*/ 118 w 909"/>
                            <a:gd name="T59" fmla="*/ 931 h 1642"/>
                            <a:gd name="T60" fmla="*/ 132 w 909"/>
                            <a:gd name="T61" fmla="*/ 974 h 1642"/>
                            <a:gd name="T62" fmla="*/ 150 w 909"/>
                            <a:gd name="T63" fmla="*/ 1015 h 1642"/>
                            <a:gd name="T64" fmla="*/ 178 w 909"/>
                            <a:gd name="T65" fmla="*/ 1091 h 1642"/>
                            <a:gd name="T66" fmla="*/ 189 w 909"/>
                            <a:gd name="T67" fmla="*/ 1135 h 1642"/>
                            <a:gd name="T68" fmla="*/ 235 w 909"/>
                            <a:gd name="T69" fmla="*/ 1222 h 1642"/>
                            <a:gd name="T70" fmla="*/ 259 w 909"/>
                            <a:gd name="T71" fmla="*/ 1242 h 1642"/>
                            <a:gd name="T72" fmla="*/ 289 w 909"/>
                            <a:gd name="T73" fmla="*/ 1250 h 1642"/>
                            <a:gd name="T74" fmla="*/ 310 w 909"/>
                            <a:gd name="T75" fmla="*/ 1282 h 1642"/>
                            <a:gd name="T76" fmla="*/ 342 w 909"/>
                            <a:gd name="T77" fmla="*/ 1321 h 1642"/>
                            <a:gd name="T78" fmla="*/ 375 w 909"/>
                            <a:gd name="T79" fmla="*/ 1326 h 1642"/>
                            <a:gd name="T80" fmla="*/ 416 w 909"/>
                            <a:gd name="T81" fmla="*/ 1392 h 1642"/>
                            <a:gd name="T82" fmla="*/ 449 w 909"/>
                            <a:gd name="T83" fmla="*/ 1408 h 1642"/>
                            <a:gd name="T84" fmla="*/ 478 w 909"/>
                            <a:gd name="T85" fmla="*/ 1469 h 1642"/>
                            <a:gd name="T86" fmla="*/ 504 w 909"/>
                            <a:gd name="T87" fmla="*/ 1544 h 1642"/>
                            <a:gd name="T88" fmla="*/ 500 w 909"/>
                            <a:gd name="T89" fmla="*/ 1581 h 1642"/>
                            <a:gd name="T90" fmla="*/ 517 w 909"/>
                            <a:gd name="T91" fmla="*/ 1598 h 1642"/>
                            <a:gd name="T92" fmla="*/ 604 w 909"/>
                            <a:gd name="T93" fmla="*/ 1614 h 1642"/>
                            <a:gd name="T94" fmla="*/ 733 w 909"/>
                            <a:gd name="T95" fmla="*/ 1633 h 1642"/>
                            <a:gd name="T96" fmla="*/ 800 w 909"/>
                            <a:gd name="T97" fmla="*/ 1642 h 1642"/>
                            <a:gd name="T98" fmla="*/ 833 w 909"/>
                            <a:gd name="T99" fmla="*/ 1626 h 1642"/>
                            <a:gd name="T100" fmla="*/ 823 w 909"/>
                            <a:gd name="T101" fmla="*/ 1565 h 1642"/>
                            <a:gd name="T102" fmla="*/ 861 w 909"/>
                            <a:gd name="T103" fmla="*/ 1450 h 1642"/>
                            <a:gd name="T104" fmla="*/ 864 w 909"/>
                            <a:gd name="T105" fmla="*/ 1327 h 1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09" h="1642">
                              <a:moveTo>
                                <a:pt x="82" y="0"/>
                              </a:moveTo>
                              <a:lnTo>
                                <a:pt x="81" y="5"/>
                              </a:lnTo>
                              <a:lnTo>
                                <a:pt x="80" y="16"/>
                              </a:lnTo>
                              <a:lnTo>
                                <a:pt x="80" y="31"/>
                              </a:lnTo>
                              <a:lnTo>
                                <a:pt x="81" y="43"/>
                              </a:lnTo>
                              <a:lnTo>
                                <a:pt x="81" y="52"/>
                              </a:lnTo>
                              <a:lnTo>
                                <a:pt x="76" y="59"/>
                              </a:lnTo>
                              <a:lnTo>
                                <a:pt x="71" y="63"/>
                              </a:lnTo>
                              <a:lnTo>
                                <a:pt x="68" y="65"/>
                              </a:lnTo>
                              <a:lnTo>
                                <a:pt x="68" y="67"/>
                              </a:lnTo>
                              <a:lnTo>
                                <a:pt x="71" y="71"/>
                              </a:lnTo>
                              <a:lnTo>
                                <a:pt x="75" y="81"/>
                              </a:lnTo>
                              <a:lnTo>
                                <a:pt x="80" y="93"/>
                              </a:lnTo>
                              <a:lnTo>
                                <a:pt x="79" y="109"/>
                              </a:lnTo>
                              <a:lnTo>
                                <a:pt x="69" y="128"/>
                              </a:lnTo>
                              <a:lnTo>
                                <a:pt x="53" y="147"/>
                              </a:lnTo>
                              <a:lnTo>
                                <a:pt x="41" y="161"/>
                              </a:lnTo>
                              <a:lnTo>
                                <a:pt x="41" y="165"/>
                              </a:lnTo>
                              <a:lnTo>
                                <a:pt x="44" y="167"/>
                              </a:lnTo>
                              <a:lnTo>
                                <a:pt x="48" y="173"/>
                              </a:lnTo>
                              <a:lnTo>
                                <a:pt x="46" y="181"/>
                              </a:lnTo>
                              <a:lnTo>
                                <a:pt x="44" y="188"/>
                              </a:lnTo>
                              <a:lnTo>
                                <a:pt x="38" y="192"/>
                              </a:lnTo>
                              <a:lnTo>
                                <a:pt x="28" y="194"/>
                              </a:lnTo>
                              <a:lnTo>
                                <a:pt x="18" y="197"/>
                              </a:lnTo>
                              <a:lnTo>
                                <a:pt x="8" y="205"/>
                              </a:lnTo>
                              <a:lnTo>
                                <a:pt x="3" y="215"/>
                              </a:lnTo>
                              <a:lnTo>
                                <a:pt x="0" y="225"/>
                              </a:lnTo>
                              <a:lnTo>
                                <a:pt x="0" y="233"/>
                              </a:lnTo>
                              <a:lnTo>
                                <a:pt x="0" y="244"/>
                              </a:lnTo>
                              <a:lnTo>
                                <a:pt x="4" y="256"/>
                              </a:lnTo>
                              <a:lnTo>
                                <a:pt x="9" y="267"/>
                              </a:lnTo>
                              <a:lnTo>
                                <a:pt x="19" y="280"/>
                              </a:lnTo>
                              <a:lnTo>
                                <a:pt x="27" y="291"/>
                              </a:lnTo>
                              <a:lnTo>
                                <a:pt x="31" y="303"/>
                              </a:lnTo>
                              <a:lnTo>
                                <a:pt x="31" y="311"/>
                              </a:lnTo>
                              <a:lnTo>
                                <a:pt x="30" y="318"/>
                              </a:lnTo>
                              <a:lnTo>
                                <a:pt x="31" y="326"/>
                              </a:lnTo>
                              <a:lnTo>
                                <a:pt x="34" y="333"/>
                              </a:lnTo>
                              <a:lnTo>
                                <a:pt x="35" y="335"/>
                              </a:lnTo>
                              <a:lnTo>
                                <a:pt x="22" y="373"/>
                              </a:lnTo>
                              <a:lnTo>
                                <a:pt x="20" y="376"/>
                              </a:lnTo>
                              <a:lnTo>
                                <a:pt x="14" y="382"/>
                              </a:lnTo>
                              <a:lnTo>
                                <a:pt x="11" y="392"/>
                              </a:lnTo>
                              <a:lnTo>
                                <a:pt x="13" y="401"/>
                              </a:lnTo>
                              <a:lnTo>
                                <a:pt x="19" y="410"/>
                              </a:lnTo>
                              <a:lnTo>
                                <a:pt x="21" y="422"/>
                              </a:lnTo>
                              <a:lnTo>
                                <a:pt x="22" y="431"/>
                              </a:lnTo>
                              <a:lnTo>
                                <a:pt x="22" y="434"/>
                              </a:lnTo>
                              <a:lnTo>
                                <a:pt x="18" y="434"/>
                              </a:lnTo>
                              <a:lnTo>
                                <a:pt x="9" y="438"/>
                              </a:lnTo>
                              <a:lnTo>
                                <a:pt x="4" y="445"/>
                              </a:lnTo>
                              <a:lnTo>
                                <a:pt x="7" y="459"/>
                              </a:lnTo>
                              <a:lnTo>
                                <a:pt x="14" y="470"/>
                              </a:lnTo>
                              <a:lnTo>
                                <a:pt x="22" y="485"/>
                              </a:lnTo>
                              <a:lnTo>
                                <a:pt x="30" y="502"/>
                              </a:lnTo>
                              <a:lnTo>
                                <a:pt x="38" y="520"/>
                              </a:lnTo>
                              <a:lnTo>
                                <a:pt x="46" y="536"/>
                              </a:lnTo>
                              <a:lnTo>
                                <a:pt x="53" y="548"/>
                              </a:lnTo>
                              <a:lnTo>
                                <a:pt x="58" y="558"/>
                              </a:lnTo>
                              <a:lnTo>
                                <a:pt x="59" y="561"/>
                              </a:lnTo>
                              <a:lnTo>
                                <a:pt x="57" y="603"/>
                              </a:lnTo>
                              <a:lnTo>
                                <a:pt x="56" y="606"/>
                              </a:lnTo>
                              <a:lnTo>
                                <a:pt x="53" y="613"/>
                              </a:lnTo>
                              <a:lnTo>
                                <a:pt x="53" y="621"/>
                              </a:lnTo>
                              <a:lnTo>
                                <a:pt x="59" y="628"/>
                              </a:lnTo>
                              <a:lnTo>
                                <a:pt x="67" y="634"/>
                              </a:lnTo>
                              <a:lnTo>
                                <a:pt x="73" y="637"/>
                              </a:lnTo>
                              <a:lnTo>
                                <a:pt x="80" y="639"/>
                              </a:lnTo>
                              <a:lnTo>
                                <a:pt x="87" y="637"/>
                              </a:lnTo>
                              <a:lnTo>
                                <a:pt x="96" y="631"/>
                              </a:lnTo>
                              <a:lnTo>
                                <a:pt x="105" y="626"/>
                              </a:lnTo>
                              <a:lnTo>
                                <a:pt x="112" y="621"/>
                              </a:lnTo>
                              <a:lnTo>
                                <a:pt x="114" y="619"/>
                              </a:lnTo>
                              <a:lnTo>
                                <a:pt x="137" y="628"/>
                              </a:lnTo>
                              <a:lnTo>
                                <a:pt x="138" y="630"/>
                              </a:lnTo>
                              <a:lnTo>
                                <a:pt x="141" y="637"/>
                              </a:lnTo>
                              <a:lnTo>
                                <a:pt x="147" y="643"/>
                              </a:lnTo>
                              <a:lnTo>
                                <a:pt x="155" y="644"/>
                              </a:lnTo>
                              <a:lnTo>
                                <a:pt x="165" y="643"/>
                              </a:lnTo>
                              <a:lnTo>
                                <a:pt x="176" y="644"/>
                              </a:lnTo>
                              <a:lnTo>
                                <a:pt x="185" y="645"/>
                              </a:lnTo>
                              <a:lnTo>
                                <a:pt x="188" y="646"/>
                              </a:lnTo>
                              <a:lnTo>
                                <a:pt x="190" y="650"/>
                              </a:lnTo>
                              <a:lnTo>
                                <a:pt x="194" y="656"/>
                              </a:lnTo>
                              <a:lnTo>
                                <a:pt x="195" y="662"/>
                              </a:lnTo>
                              <a:lnTo>
                                <a:pt x="191" y="666"/>
                              </a:lnTo>
                              <a:lnTo>
                                <a:pt x="187" y="666"/>
                              </a:lnTo>
                              <a:lnTo>
                                <a:pt x="182" y="665"/>
                              </a:lnTo>
                              <a:lnTo>
                                <a:pt x="175" y="662"/>
                              </a:lnTo>
                              <a:lnTo>
                                <a:pt x="170" y="660"/>
                              </a:lnTo>
                              <a:lnTo>
                                <a:pt x="164" y="659"/>
                              </a:lnTo>
                              <a:lnTo>
                                <a:pt x="159" y="657"/>
                              </a:lnTo>
                              <a:lnTo>
                                <a:pt x="156" y="656"/>
                              </a:lnTo>
                              <a:lnTo>
                                <a:pt x="155" y="656"/>
                              </a:lnTo>
                              <a:lnTo>
                                <a:pt x="121" y="644"/>
                              </a:lnTo>
                              <a:lnTo>
                                <a:pt x="119" y="651"/>
                              </a:lnTo>
                              <a:lnTo>
                                <a:pt x="113" y="667"/>
                              </a:lnTo>
                              <a:lnTo>
                                <a:pt x="110" y="684"/>
                              </a:lnTo>
                              <a:lnTo>
                                <a:pt x="112" y="694"/>
                              </a:lnTo>
                              <a:lnTo>
                                <a:pt x="120" y="697"/>
                              </a:lnTo>
                              <a:lnTo>
                                <a:pt x="128" y="704"/>
                              </a:lnTo>
                              <a:lnTo>
                                <a:pt x="133" y="712"/>
                              </a:lnTo>
                              <a:lnTo>
                                <a:pt x="130" y="718"/>
                              </a:lnTo>
                              <a:lnTo>
                                <a:pt x="124" y="718"/>
                              </a:lnTo>
                              <a:lnTo>
                                <a:pt x="118" y="712"/>
                              </a:lnTo>
                              <a:lnTo>
                                <a:pt x="113" y="706"/>
                              </a:lnTo>
                              <a:lnTo>
                                <a:pt x="112" y="703"/>
                              </a:lnTo>
                              <a:lnTo>
                                <a:pt x="90" y="681"/>
                              </a:lnTo>
                              <a:lnTo>
                                <a:pt x="89" y="682"/>
                              </a:lnTo>
                              <a:lnTo>
                                <a:pt x="87" y="684"/>
                              </a:lnTo>
                              <a:lnTo>
                                <a:pt x="82" y="690"/>
                              </a:lnTo>
                              <a:lnTo>
                                <a:pt x="77" y="696"/>
                              </a:lnTo>
                              <a:lnTo>
                                <a:pt x="75" y="704"/>
                              </a:lnTo>
                              <a:lnTo>
                                <a:pt x="75" y="712"/>
                              </a:lnTo>
                              <a:lnTo>
                                <a:pt x="76" y="719"/>
                              </a:lnTo>
                              <a:lnTo>
                                <a:pt x="77" y="721"/>
                              </a:lnTo>
                              <a:lnTo>
                                <a:pt x="80" y="722"/>
                              </a:lnTo>
                              <a:lnTo>
                                <a:pt x="83" y="725"/>
                              </a:lnTo>
                              <a:lnTo>
                                <a:pt x="87" y="730"/>
                              </a:lnTo>
                              <a:lnTo>
                                <a:pt x="87" y="742"/>
                              </a:lnTo>
                              <a:lnTo>
                                <a:pt x="84" y="756"/>
                              </a:lnTo>
                              <a:lnTo>
                                <a:pt x="83" y="767"/>
                              </a:lnTo>
                              <a:lnTo>
                                <a:pt x="82" y="775"/>
                              </a:lnTo>
                              <a:lnTo>
                                <a:pt x="81" y="779"/>
                              </a:lnTo>
                              <a:lnTo>
                                <a:pt x="83" y="781"/>
                              </a:lnTo>
                              <a:lnTo>
                                <a:pt x="90" y="787"/>
                              </a:lnTo>
                              <a:lnTo>
                                <a:pt x="99" y="794"/>
                              </a:lnTo>
                              <a:lnTo>
                                <a:pt x="109" y="797"/>
                              </a:lnTo>
                              <a:lnTo>
                                <a:pt x="119" y="802"/>
                              </a:lnTo>
                              <a:lnTo>
                                <a:pt x="129" y="808"/>
                              </a:lnTo>
                              <a:lnTo>
                                <a:pt x="136" y="817"/>
                              </a:lnTo>
                              <a:lnTo>
                                <a:pt x="137" y="826"/>
                              </a:lnTo>
                              <a:lnTo>
                                <a:pt x="132" y="833"/>
                              </a:lnTo>
                              <a:lnTo>
                                <a:pt x="126" y="836"/>
                              </a:lnTo>
                              <a:lnTo>
                                <a:pt x="120" y="840"/>
                              </a:lnTo>
                              <a:lnTo>
                                <a:pt x="114" y="847"/>
                              </a:lnTo>
                              <a:lnTo>
                                <a:pt x="111" y="856"/>
                              </a:lnTo>
                              <a:lnTo>
                                <a:pt x="106" y="863"/>
                              </a:lnTo>
                              <a:lnTo>
                                <a:pt x="102" y="869"/>
                              </a:lnTo>
                              <a:lnTo>
                                <a:pt x="96" y="872"/>
                              </a:lnTo>
                              <a:lnTo>
                                <a:pt x="91" y="874"/>
                              </a:lnTo>
                              <a:lnTo>
                                <a:pt x="89" y="879"/>
                              </a:lnTo>
                              <a:lnTo>
                                <a:pt x="91" y="887"/>
                              </a:lnTo>
                              <a:lnTo>
                                <a:pt x="96" y="896"/>
                              </a:lnTo>
                              <a:lnTo>
                                <a:pt x="100" y="903"/>
                              </a:lnTo>
                              <a:lnTo>
                                <a:pt x="105" y="911"/>
                              </a:lnTo>
                              <a:lnTo>
                                <a:pt x="112" y="921"/>
                              </a:lnTo>
                              <a:lnTo>
                                <a:pt x="118" y="931"/>
                              </a:lnTo>
                              <a:lnTo>
                                <a:pt x="124" y="941"/>
                              </a:lnTo>
                              <a:lnTo>
                                <a:pt x="128" y="950"/>
                              </a:lnTo>
                              <a:lnTo>
                                <a:pt x="132" y="959"/>
                              </a:lnTo>
                              <a:lnTo>
                                <a:pt x="133" y="964"/>
                              </a:lnTo>
                              <a:lnTo>
                                <a:pt x="132" y="974"/>
                              </a:lnTo>
                              <a:lnTo>
                                <a:pt x="130" y="982"/>
                              </a:lnTo>
                              <a:lnTo>
                                <a:pt x="132" y="989"/>
                              </a:lnTo>
                              <a:lnTo>
                                <a:pt x="140" y="995"/>
                              </a:lnTo>
                              <a:lnTo>
                                <a:pt x="148" y="1005"/>
                              </a:lnTo>
                              <a:lnTo>
                                <a:pt x="150" y="1015"/>
                              </a:lnTo>
                              <a:lnTo>
                                <a:pt x="150" y="1025"/>
                              </a:lnTo>
                              <a:lnTo>
                                <a:pt x="149" y="1029"/>
                              </a:lnTo>
                              <a:lnTo>
                                <a:pt x="170" y="1051"/>
                              </a:lnTo>
                              <a:lnTo>
                                <a:pt x="176" y="1090"/>
                              </a:lnTo>
                              <a:lnTo>
                                <a:pt x="178" y="1091"/>
                              </a:lnTo>
                              <a:lnTo>
                                <a:pt x="182" y="1094"/>
                              </a:lnTo>
                              <a:lnTo>
                                <a:pt x="186" y="1099"/>
                              </a:lnTo>
                              <a:lnTo>
                                <a:pt x="188" y="1106"/>
                              </a:lnTo>
                              <a:lnTo>
                                <a:pt x="189" y="1118"/>
                              </a:lnTo>
                              <a:lnTo>
                                <a:pt x="189" y="1135"/>
                              </a:lnTo>
                              <a:lnTo>
                                <a:pt x="188" y="1151"/>
                              </a:lnTo>
                              <a:lnTo>
                                <a:pt x="188" y="1158"/>
                              </a:lnTo>
                              <a:lnTo>
                                <a:pt x="170" y="1176"/>
                              </a:lnTo>
                              <a:lnTo>
                                <a:pt x="198" y="1217"/>
                              </a:lnTo>
                              <a:lnTo>
                                <a:pt x="235" y="1222"/>
                              </a:lnTo>
                              <a:lnTo>
                                <a:pt x="236" y="1225"/>
                              </a:lnTo>
                              <a:lnTo>
                                <a:pt x="239" y="1230"/>
                              </a:lnTo>
                              <a:lnTo>
                                <a:pt x="244" y="1237"/>
                              </a:lnTo>
                              <a:lnTo>
                                <a:pt x="254" y="1241"/>
                              </a:lnTo>
                              <a:lnTo>
                                <a:pt x="259" y="1242"/>
                              </a:lnTo>
                              <a:lnTo>
                                <a:pt x="266" y="1243"/>
                              </a:lnTo>
                              <a:lnTo>
                                <a:pt x="272" y="1244"/>
                              </a:lnTo>
                              <a:lnTo>
                                <a:pt x="279" y="1245"/>
                              </a:lnTo>
                              <a:lnTo>
                                <a:pt x="285" y="1248"/>
                              </a:lnTo>
                              <a:lnTo>
                                <a:pt x="289" y="1250"/>
                              </a:lnTo>
                              <a:lnTo>
                                <a:pt x="294" y="1252"/>
                              </a:lnTo>
                              <a:lnTo>
                                <a:pt x="296" y="1257"/>
                              </a:lnTo>
                              <a:lnTo>
                                <a:pt x="300" y="1263"/>
                              </a:lnTo>
                              <a:lnTo>
                                <a:pt x="304" y="1272"/>
                              </a:lnTo>
                              <a:lnTo>
                                <a:pt x="310" y="1282"/>
                              </a:lnTo>
                              <a:lnTo>
                                <a:pt x="316" y="1293"/>
                              </a:lnTo>
                              <a:lnTo>
                                <a:pt x="323" y="1303"/>
                              </a:lnTo>
                              <a:lnTo>
                                <a:pt x="330" y="1312"/>
                              </a:lnTo>
                              <a:lnTo>
                                <a:pt x="337" y="1318"/>
                              </a:lnTo>
                              <a:lnTo>
                                <a:pt x="342" y="1321"/>
                              </a:lnTo>
                              <a:lnTo>
                                <a:pt x="349" y="1323"/>
                              </a:lnTo>
                              <a:lnTo>
                                <a:pt x="355" y="1324"/>
                              </a:lnTo>
                              <a:lnTo>
                                <a:pt x="362" y="1325"/>
                              </a:lnTo>
                              <a:lnTo>
                                <a:pt x="369" y="1326"/>
                              </a:lnTo>
                              <a:lnTo>
                                <a:pt x="375" y="1326"/>
                              </a:lnTo>
                              <a:lnTo>
                                <a:pt x="379" y="1327"/>
                              </a:lnTo>
                              <a:lnTo>
                                <a:pt x="382" y="1327"/>
                              </a:lnTo>
                              <a:lnTo>
                                <a:pt x="383" y="1327"/>
                              </a:lnTo>
                              <a:lnTo>
                                <a:pt x="407" y="1368"/>
                              </a:lnTo>
                              <a:lnTo>
                                <a:pt x="416" y="1392"/>
                              </a:lnTo>
                              <a:lnTo>
                                <a:pt x="418" y="1394"/>
                              </a:lnTo>
                              <a:lnTo>
                                <a:pt x="424" y="1397"/>
                              </a:lnTo>
                              <a:lnTo>
                                <a:pt x="432" y="1402"/>
                              </a:lnTo>
                              <a:lnTo>
                                <a:pt x="441" y="1404"/>
                              </a:lnTo>
                              <a:lnTo>
                                <a:pt x="449" y="1408"/>
                              </a:lnTo>
                              <a:lnTo>
                                <a:pt x="458" y="1417"/>
                              </a:lnTo>
                              <a:lnTo>
                                <a:pt x="463" y="1430"/>
                              </a:lnTo>
                              <a:lnTo>
                                <a:pt x="469" y="1441"/>
                              </a:lnTo>
                              <a:lnTo>
                                <a:pt x="474" y="1455"/>
                              </a:lnTo>
                              <a:lnTo>
                                <a:pt x="478" y="1469"/>
                              </a:lnTo>
                              <a:lnTo>
                                <a:pt x="485" y="1479"/>
                              </a:lnTo>
                              <a:lnTo>
                                <a:pt x="493" y="1482"/>
                              </a:lnTo>
                              <a:lnTo>
                                <a:pt x="500" y="1491"/>
                              </a:lnTo>
                              <a:lnTo>
                                <a:pt x="502" y="1516"/>
                              </a:lnTo>
                              <a:lnTo>
                                <a:pt x="504" y="1544"/>
                              </a:lnTo>
                              <a:lnTo>
                                <a:pt x="506" y="1562"/>
                              </a:lnTo>
                              <a:lnTo>
                                <a:pt x="507" y="1570"/>
                              </a:lnTo>
                              <a:lnTo>
                                <a:pt x="505" y="1576"/>
                              </a:lnTo>
                              <a:lnTo>
                                <a:pt x="501" y="1580"/>
                              </a:lnTo>
                              <a:lnTo>
                                <a:pt x="500" y="1581"/>
                              </a:lnTo>
                              <a:lnTo>
                                <a:pt x="502" y="1582"/>
                              </a:lnTo>
                              <a:lnTo>
                                <a:pt x="509" y="1584"/>
                              </a:lnTo>
                              <a:lnTo>
                                <a:pt x="514" y="1590"/>
                              </a:lnTo>
                              <a:lnTo>
                                <a:pt x="515" y="1596"/>
                              </a:lnTo>
                              <a:lnTo>
                                <a:pt x="517" y="1598"/>
                              </a:lnTo>
                              <a:lnTo>
                                <a:pt x="527" y="1600"/>
                              </a:lnTo>
                              <a:lnTo>
                                <a:pt x="540" y="1604"/>
                              </a:lnTo>
                              <a:lnTo>
                                <a:pt x="558" y="1607"/>
                              </a:lnTo>
                              <a:lnTo>
                                <a:pt x="580" y="1611"/>
                              </a:lnTo>
                              <a:lnTo>
                                <a:pt x="604" y="1614"/>
                              </a:lnTo>
                              <a:lnTo>
                                <a:pt x="629" y="1619"/>
                              </a:lnTo>
                              <a:lnTo>
                                <a:pt x="656" y="1622"/>
                              </a:lnTo>
                              <a:lnTo>
                                <a:pt x="683" y="1626"/>
                              </a:lnTo>
                              <a:lnTo>
                                <a:pt x="709" y="1629"/>
                              </a:lnTo>
                              <a:lnTo>
                                <a:pt x="733" y="1633"/>
                              </a:lnTo>
                              <a:lnTo>
                                <a:pt x="755" y="1636"/>
                              </a:lnTo>
                              <a:lnTo>
                                <a:pt x="773" y="1638"/>
                              </a:lnTo>
                              <a:lnTo>
                                <a:pt x="787" y="1641"/>
                              </a:lnTo>
                              <a:lnTo>
                                <a:pt x="796" y="1642"/>
                              </a:lnTo>
                              <a:lnTo>
                                <a:pt x="800" y="1642"/>
                              </a:lnTo>
                              <a:lnTo>
                                <a:pt x="802" y="1642"/>
                              </a:lnTo>
                              <a:lnTo>
                                <a:pt x="810" y="1641"/>
                              </a:lnTo>
                              <a:lnTo>
                                <a:pt x="818" y="1637"/>
                              </a:lnTo>
                              <a:lnTo>
                                <a:pt x="827" y="1633"/>
                              </a:lnTo>
                              <a:lnTo>
                                <a:pt x="833" y="1626"/>
                              </a:lnTo>
                              <a:lnTo>
                                <a:pt x="834" y="1619"/>
                              </a:lnTo>
                              <a:lnTo>
                                <a:pt x="833" y="1613"/>
                              </a:lnTo>
                              <a:lnTo>
                                <a:pt x="833" y="1611"/>
                              </a:lnTo>
                              <a:lnTo>
                                <a:pt x="810" y="1588"/>
                              </a:lnTo>
                              <a:lnTo>
                                <a:pt x="823" y="1565"/>
                              </a:lnTo>
                              <a:lnTo>
                                <a:pt x="817" y="1548"/>
                              </a:lnTo>
                              <a:lnTo>
                                <a:pt x="847" y="1512"/>
                              </a:lnTo>
                              <a:lnTo>
                                <a:pt x="849" y="1489"/>
                              </a:lnTo>
                              <a:lnTo>
                                <a:pt x="861" y="1476"/>
                              </a:lnTo>
                              <a:lnTo>
                                <a:pt x="861" y="1450"/>
                              </a:lnTo>
                              <a:lnTo>
                                <a:pt x="909" y="1423"/>
                              </a:lnTo>
                              <a:lnTo>
                                <a:pt x="888" y="1386"/>
                              </a:lnTo>
                              <a:lnTo>
                                <a:pt x="883" y="1351"/>
                              </a:lnTo>
                              <a:lnTo>
                                <a:pt x="873" y="1336"/>
                              </a:lnTo>
                              <a:lnTo>
                                <a:pt x="864" y="1327"/>
                              </a:lnTo>
                              <a:lnTo>
                                <a:pt x="873" y="1290"/>
                              </a:lnTo>
                              <a:lnTo>
                                <a:pt x="405" y="570"/>
                              </a:lnTo>
                              <a:lnTo>
                                <a:pt x="515" y="138"/>
                              </a:lnTo>
                              <a:lnTo>
                                <a:pt x="82"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245.6pt;margin-top:8pt;width:3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9,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" path="m82,l81,5,80,16r,15l81,43r,9l76,59r-5,4l68,65r,2l71,71r4,10l80,93r-1,16l69,128,53,147,41,161r,4l44,167r4,6l46,181r-2,7l38,192r-10,2l18,197,8,205,3,215,,225r,8l,244r4,12l9,267r10,13l27,291r4,12l31,311r-1,7l31,326r3,7l35,335,22,373r-2,3l14,382r-3,10l13,401r6,9l21,422r1,9l22,434r-4,l9,438r-5,7l7,459r7,11l22,485r8,17l38,520r8,16l53,548r5,10l59,561r-2,42l56,606r-3,7l53,621r6,7l67,634r6,3l80,639r7,-2l96,631r9,-5l112,621r2,-2l137,628r1,2l141,637r6,6l155,644r10,-1l176,644r9,1l188,646r2,4l194,656r1,6l191,666r-4,l182,665r-7,-3l170,660r-6,-1l159,657r-3,-1l155,656,121,644r-2,7l113,667r-3,17l112,694r8,3l128,704r5,8l130,718r-6,l118,712r-5,-6l112,703,90,681r-1,1l87,684r-5,6l77,696r-2,8l75,712r1,7l77,721r3,1l83,725r4,5l87,742r-3,14l83,767r-1,8l81,779r2,2l90,787r9,7l109,797r10,5l129,808r7,9l137,826r-5,7l126,836r-6,4l114,847r-3,9l106,863r-4,6l96,872r-5,2l89,879r2,8l96,896r4,7l105,911r7,10l118,931r6,10l128,950r4,9l133,964r-1,10l130,982r2,7l140,995r8,10l150,1015r,10l149,1029r21,22l176,1090r2,1l182,1094r4,5l188,1106r1,12l189,1135r-1,16l188,1158r-18,18l198,1217r37,5l236,1225r3,5l244,1237r10,4l259,1242r7,1l272,1244r7,1l285,1248r4,2l294,1252r2,5l300,1263r4,9l310,1282r6,11l323,1303r7,9l337,1318r5,3l349,1323r6,1l362,1325r7,1l375,1326r4,1l382,1327r1,l407,1368r9,24l418,1394r6,3l432,1402r9,2l449,1408r9,9l463,1430r6,11l474,1455r4,14l485,1479r8,3l500,1491r2,25l504,1544r2,18l507,1570r-2,6l501,1580r-1,1l502,1582r7,2l514,1590r1,6l517,1598r10,2l540,1604r18,3l580,1611r24,3l629,1619r27,3l683,1626r26,3l733,1633r22,3l773,1638r14,3l796,1642r4,l802,1642r8,-1l818,1637r9,-4l833,1626r1,-7l833,1613r,-2l810,1588r13,-23l817,1548r30,-36l849,1489r12,-13l861,1450r48,-27l888,1386r-5,-35l873,1336r-9,-9l873,1290,405,570,515,138,82,xe" fillcolor="#0070c0" stroked="f">
                <v:path arrowok="t" o:connecttype="custom" o:connectlocs="40741,17959;34202,27148;39735,45525;22131,69749;14083,81026;0,97315;13580,121539;17101,139081;5533,163723;11065,181265;7042,196301;26657,228878;26657,256026;40238,266886;57339,258532;77960,268974;95564,271480;91541,277745;78463,273986;55327,285680;65386,299881;45267,284427;37723,294034;41747,302805;41244,323688;54824,332876;66392,347912;53315,360442;45770,370466;59350,388843;66392,406802;75446,423926;89529,455669;95061,474046;118198,510382;130269,518735;145358,522077;155921,535442;172016,551731;188614,553819;209236,581385;225834,588067;240420,613545;253497,644869;251485,660323;260036,667423;303794,674105;368677,682041;402376,685800;418974,679117;413945,653640;433057,605609;434566,554237" o:connectangles="0,0,0,0,0,0,0,0,0,0,0,0,0,0,0,0,0,0,0,0,0,0,0,0,0,0,0,0,0,0,0,0,0,0,0,0,0,0,0,0,0,0,0,0,0,0,0,0,0,0,0,0,0"/>
              </v:shape>
            </w:pict>
          </mc:Fallback>
        </mc:AlternateContent>
      </w:r>
    </w:p>
    <w:p w:rsidR="0061118F" w:rsidRPr="009833A7" w:rsidRDefault="0061118F" w:rsidP="0061118F">
      <w:pPr>
        <w:widowControl w:val="0"/>
        <w:jc w:val="center"/>
        <w:rPr>
          <w:rFonts w:ascii="Times New Roman" w:hAnsi="Times New Roman"/>
          <w:sz w:val="32"/>
          <w:szCs w:val="32"/>
        </w:rPr>
      </w:pPr>
      <w:r>
        <w:rPr>
          <w:rFonts w:ascii="Times New Roman" w:hAnsi="Times New Roman"/>
          <w:sz w:val="44"/>
          <w:szCs w:val="44"/>
        </w:rPr>
        <w:t xml:space="preserve">SCHEER </w:t>
      </w:r>
      <w:r w:rsidRPr="009833A7">
        <w:rPr>
          <w:rFonts w:ascii="Times New Roman" w:hAnsi="Times New Roman"/>
          <w:sz w:val="44"/>
          <w:szCs w:val="44"/>
        </w:rPr>
        <w:t>LAW    GROUP, LLP</w:t>
      </w:r>
    </w:p>
    <w:p w:rsidR="0061118F" w:rsidRPr="009833A7" w:rsidRDefault="0061118F" w:rsidP="0061118F">
      <w:pPr>
        <w:widowControl w:val="0"/>
        <w:rPr>
          <w:rFonts w:ascii="Times New Roman" w:hAnsi="Times New Roman"/>
        </w:rPr>
      </w:pPr>
    </w:p>
    <w:p w:rsidR="0061118F" w:rsidRPr="009833A7" w:rsidRDefault="0061118F" w:rsidP="002F05DF">
      <w:pPr>
        <w:widowControl w:val="0"/>
        <w:spacing w:line="240" w:lineRule="auto"/>
        <w:jc w:val="center"/>
        <w:rPr>
          <w:rFonts w:ascii="Times New Roman" w:hAnsi="Times New Roman"/>
          <w:b/>
          <w:sz w:val="24"/>
          <w:szCs w:val="24"/>
        </w:rPr>
      </w:pPr>
      <w:r w:rsidRPr="009833A7">
        <w:rPr>
          <w:rFonts w:ascii="Times New Roman" w:hAnsi="Times New Roman"/>
          <w:sz w:val="24"/>
          <w:szCs w:val="24"/>
        </w:rPr>
        <w:t xml:space="preserve">   </w:t>
      </w:r>
      <w:r w:rsidRPr="009833A7">
        <w:rPr>
          <w:rFonts w:ascii="Times New Roman" w:hAnsi="Times New Roman"/>
          <w:b/>
          <w:sz w:val="24"/>
          <w:szCs w:val="24"/>
        </w:rPr>
        <w:t>Attorneys at Law</w:t>
      </w:r>
    </w:p>
    <w:p w:rsidR="0061118F" w:rsidRPr="009833A7" w:rsidRDefault="009F28FA" w:rsidP="002F05DF">
      <w:pPr>
        <w:spacing w:line="240" w:lineRule="auto"/>
        <w:jc w:val="center"/>
        <w:outlineLvl w:val="0"/>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simplePos x="0" y="0"/>
                <wp:positionH relativeFrom="column">
                  <wp:posOffset>2286000</wp:posOffset>
                </wp:positionH>
                <wp:positionV relativeFrom="paragraph">
                  <wp:posOffset>0</wp:posOffset>
                </wp:positionV>
                <wp:extent cx="5486400" cy="12573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0;width:6in;height:9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" filled="f" stroked="f" insetpen="t">
                <v:textbox inset="2.88pt,2.88pt,2.88pt,2.88pt"/>
              </v:rect>
            </w:pict>
          </mc:Fallback>
        </mc:AlternateContent>
      </w:r>
      <w:r w:rsidR="0061118F" w:rsidRPr="009833A7">
        <w:rPr>
          <w:rFonts w:ascii="Times New Roman" w:hAnsi="Times New Roman"/>
          <w:sz w:val="24"/>
          <w:szCs w:val="24"/>
        </w:rPr>
        <w:t>(</w:t>
      </w:r>
      <w:r w:rsidR="0061118F" w:rsidRPr="009833A7">
        <w:rPr>
          <w:rFonts w:ascii="Times New Roman" w:hAnsi="Times New Roman"/>
          <w:b/>
          <w:sz w:val="20"/>
          <w:szCs w:val="20"/>
        </w:rPr>
        <w:t>Serving Secured Creditors throughout California</w:t>
      </w:r>
      <w:r w:rsidR="0061118F" w:rsidRPr="009833A7">
        <w:rPr>
          <w:rFonts w:ascii="Times New Roman" w:hAnsi="Times New Roman"/>
          <w:sz w:val="24"/>
          <w:szCs w:val="24"/>
        </w:rPr>
        <w:t>)</w:t>
      </w:r>
    </w:p>
    <w:p w:rsidR="002F05DF" w:rsidRDefault="002F05DF" w:rsidP="0061118F">
      <w:pPr>
        <w:jc w:val="center"/>
        <w:rPr>
          <w:rFonts w:ascii="Times New Roman" w:hAnsi="Times New Roman"/>
          <w:b/>
          <w:bCs/>
          <w:sz w:val="24"/>
          <w:szCs w:val="24"/>
        </w:rPr>
      </w:pPr>
    </w:p>
    <w:p w:rsidR="0061118F" w:rsidRPr="009833A7" w:rsidRDefault="0061118F" w:rsidP="0061118F">
      <w:pPr>
        <w:jc w:val="center"/>
        <w:rPr>
          <w:rFonts w:ascii="Times New Roman" w:hAnsi="Times New Roman"/>
          <w:b/>
          <w:bCs/>
          <w:sz w:val="24"/>
          <w:szCs w:val="24"/>
        </w:rPr>
      </w:pPr>
      <w:r w:rsidRPr="009833A7">
        <w:rPr>
          <w:rFonts w:ascii="Times New Roman" w:hAnsi="Times New Roman"/>
          <w:b/>
          <w:bCs/>
          <w:sz w:val="24"/>
          <w:szCs w:val="24"/>
        </w:rPr>
        <w:t>155 N. REDWOOD DRIVE, SUITE 100</w:t>
      </w:r>
    </w:p>
    <w:p w:rsidR="0061118F" w:rsidRPr="009833A7" w:rsidRDefault="0061118F" w:rsidP="0061118F">
      <w:pPr>
        <w:jc w:val="center"/>
        <w:rPr>
          <w:rFonts w:ascii="Times New Roman" w:hAnsi="Times New Roman"/>
          <w:b/>
          <w:bCs/>
          <w:sz w:val="24"/>
          <w:szCs w:val="24"/>
        </w:rPr>
      </w:pPr>
      <w:r w:rsidRPr="009833A7">
        <w:rPr>
          <w:rFonts w:ascii="Times New Roman" w:hAnsi="Times New Roman"/>
          <w:b/>
          <w:bCs/>
          <w:sz w:val="24"/>
          <w:szCs w:val="24"/>
        </w:rPr>
        <w:t>SAN RAFAEL, CA 94903</w:t>
      </w:r>
    </w:p>
    <w:p w:rsidR="0061118F" w:rsidRPr="009833A7" w:rsidRDefault="0061118F" w:rsidP="0061118F">
      <w:pPr>
        <w:jc w:val="center"/>
        <w:rPr>
          <w:rFonts w:ascii="Times New Roman" w:hAnsi="Times New Roman"/>
          <w:b/>
          <w:sz w:val="24"/>
          <w:szCs w:val="24"/>
        </w:rPr>
      </w:pPr>
      <w:r w:rsidRPr="009833A7">
        <w:rPr>
          <w:rFonts w:ascii="Times New Roman" w:hAnsi="Times New Roman"/>
          <w:b/>
          <w:sz w:val="24"/>
          <w:szCs w:val="24"/>
        </w:rPr>
        <w:t>(415) 491-8900</w:t>
      </w:r>
    </w:p>
    <w:p w:rsidR="0061118F" w:rsidRPr="009833A7" w:rsidRDefault="0061118F" w:rsidP="0061118F">
      <w:pPr>
        <w:jc w:val="center"/>
        <w:rPr>
          <w:rFonts w:ascii="Times New Roman" w:hAnsi="Times New Roman"/>
          <w:b/>
          <w:sz w:val="24"/>
          <w:szCs w:val="24"/>
        </w:rPr>
      </w:pPr>
      <w:r w:rsidRPr="009833A7">
        <w:rPr>
          <w:rFonts w:ascii="Times New Roman" w:hAnsi="Times New Roman"/>
          <w:b/>
          <w:sz w:val="24"/>
          <w:szCs w:val="24"/>
        </w:rPr>
        <w:t>(415) 491-8910 Fax</w:t>
      </w:r>
    </w:p>
    <w:p w:rsidR="0061118F" w:rsidRPr="009833A7" w:rsidRDefault="0061118F" w:rsidP="0061118F">
      <w:pPr>
        <w:jc w:val="center"/>
        <w:rPr>
          <w:rFonts w:ascii="Times New Roman" w:hAnsi="Times New Roman"/>
          <w:b/>
          <w:sz w:val="24"/>
          <w:szCs w:val="24"/>
        </w:rPr>
      </w:pPr>
      <w:r w:rsidRPr="009833A7">
        <w:rPr>
          <w:rFonts w:ascii="Times New Roman" w:hAnsi="Times New Roman"/>
          <w:b/>
          <w:sz w:val="24"/>
          <w:szCs w:val="24"/>
        </w:rPr>
        <w:t>www.scheerlawgroup.com</w:t>
      </w:r>
    </w:p>
    <w:p w:rsidR="0061118F" w:rsidRPr="009833A7" w:rsidRDefault="0061118F" w:rsidP="0061118F">
      <w:pPr>
        <w:widowControl w:val="0"/>
        <w:jc w:val="center"/>
        <w:rPr>
          <w:rFonts w:ascii="Times New Roman" w:hAnsi="Times New Roman"/>
          <w:sz w:val="24"/>
          <w:szCs w:val="24"/>
        </w:rPr>
      </w:pPr>
    </w:p>
    <w:p w:rsidR="0061118F" w:rsidRPr="009833A7" w:rsidRDefault="0061118F" w:rsidP="0061118F">
      <w:pPr>
        <w:pBdr>
          <w:bottom w:val="single" w:sz="4" w:space="1" w:color="auto"/>
        </w:pBdr>
        <w:jc w:val="center"/>
        <w:outlineLvl w:val="0"/>
        <w:rPr>
          <w:rFonts w:ascii="Times New Roman" w:hAnsi="Times New Roman"/>
          <w:sz w:val="24"/>
        </w:rPr>
      </w:pPr>
      <w:r w:rsidRPr="009833A7">
        <w:rPr>
          <w:rFonts w:ascii="Times New Roman" w:hAnsi="Times New Roman"/>
          <w:sz w:val="24"/>
        </w:rPr>
        <w:t>*Rated AV (highest rating) by Martindale-Hubbell*</w:t>
      </w:r>
    </w:p>
    <w:p w:rsidR="0061118F" w:rsidRDefault="009F28FA" w:rsidP="0061118F">
      <w:pPr>
        <w:jc w:val="center"/>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1014730</wp:posOffset>
                </wp:positionH>
                <wp:positionV relativeFrom="paragraph">
                  <wp:posOffset>309880</wp:posOffset>
                </wp:positionV>
                <wp:extent cx="4304030" cy="1273175"/>
                <wp:effectExtent l="14605" t="14605" r="15240" b="171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1273175"/>
                        </a:xfrm>
                        <a:prstGeom prst="rect">
                          <a:avLst/>
                        </a:prstGeom>
                        <a:solidFill>
                          <a:srgbClr val="FFFFFF"/>
                        </a:solidFill>
                        <a:ln w="25400">
                          <a:solidFill>
                            <a:srgbClr val="000000"/>
                          </a:solidFill>
                          <a:miter lim="800000"/>
                          <a:headEnd/>
                          <a:tailEnd/>
                        </a:ln>
                      </wps:spPr>
                      <wps:txbx>
                        <w:txbxContent>
                          <w:p w:rsidR="002349E5" w:rsidRPr="0046209D" w:rsidRDefault="002349E5" w:rsidP="0046209D">
                            <w:pPr>
                              <w:jc w:val="center"/>
                              <w:rPr>
                                <w:b/>
                                <w:i/>
                                <w:sz w:val="28"/>
                                <w:szCs w:val="28"/>
                              </w:rPr>
                            </w:pPr>
                            <w:r>
                              <w:rPr>
                                <w:b/>
                                <w:i/>
                                <w:sz w:val="28"/>
                                <w:szCs w:val="28"/>
                              </w:rPr>
                              <w:t>CONSUMER</w:t>
                            </w:r>
                            <w:r w:rsidRPr="0046209D">
                              <w:rPr>
                                <w:b/>
                                <w:i/>
                                <w:sz w:val="28"/>
                                <w:szCs w:val="28"/>
                              </w:rPr>
                              <w:t xml:space="preserve"> BANKRUPTCY BASICS</w:t>
                            </w:r>
                          </w:p>
                          <w:p w:rsidR="002349E5" w:rsidRDefault="002349E5" w:rsidP="0046209D">
                            <w:pPr>
                              <w:jc w:val="center"/>
                              <w:rPr>
                                <w:i/>
                                <w:sz w:val="28"/>
                                <w:szCs w:val="28"/>
                              </w:rPr>
                            </w:pPr>
                            <w:r w:rsidRPr="0046209D">
                              <w:rPr>
                                <w:i/>
                                <w:sz w:val="28"/>
                                <w:szCs w:val="28"/>
                              </w:rPr>
                              <w:t>(They are not so basic).</w:t>
                            </w:r>
                          </w:p>
                          <w:p w:rsidR="002349E5" w:rsidRPr="00DF08BD" w:rsidRDefault="00DF08BD" w:rsidP="0061118F">
                            <w:pPr>
                              <w:jc w:val="center"/>
                              <w:rPr>
                                <w:rFonts w:ascii="Times New Roman" w:hAnsi="Times New Roman"/>
                                <w:b/>
                                <w:sz w:val="28"/>
                                <w:szCs w:val="28"/>
                              </w:rPr>
                            </w:pPr>
                            <w:r w:rsidRPr="00DF08BD">
                              <w:rPr>
                                <w:rFonts w:ascii="Times New Roman" w:hAnsi="Times New Roman"/>
                                <w:b/>
                                <w:sz w:val="28"/>
                                <w:szCs w:val="28"/>
                              </w:rPr>
                              <w:t>Presented to San Francisco Federal Credit Union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9pt;margin-top:24.4pt;width:338.9pt;height:1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" strokeweight="2pt">
                <v:textbox>
                  <w:txbxContent>
                    <w:p w:rsidR="002349E5" w:rsidRPr="0046209D" w:rsidRDefault="002349E5" w:rsidP="0046209D">
                      <w:pPr>
                        <w:jc w:val="center"/>
                        <w:rPr>
                          <w:b/>
                          <w:i/>
                          <w:sz w:val="28"/>
                          <w:szCs w:val="28"/>
                        </w:rPr>
                      </w:pPr>
                      <w:r>
                        <w:rPr>
                          <w:b/>
                          <w:i/>
                          <w:sz w:val="28"/>
                          <w:szCs w:val="28"/>
                        </w:rPr>
                        <w:t>CONSUMER</w:t>
                      </w:r>
                      <w:r w:rsidRPr="0046209D">
                        <w:rPr>
                          <w:b/>
                          <w:i/>
                          <w:sz w:val="28"/>
                          <w:szCs w:val="28"/>
                        </w:rPr>
                        <w:t xml:space="preserve"> BANKRUPTCY BASICS</w:t>
                      </w:r>
                    </w:p>
                    <w:p w:rsidR="002349E5" w:rsidRDefault="002349E5" w:rsidP="0046209D">
                      <w:pPr>
                        <w:jc w:val="center"/>
                        <w:rPr>
                          <w:i/>
                          <w:sz w:val="28"/>
                          <w:szCs w:val="28"/>
                        </w:rPr>
                      </w:pPr>
                      <w:r w:rsidRPr="0046209D">
                        <w:rPr>
                          <w:i/>
                          <w:sz w:val="28"/>
                          <w:szCs w:val="28"/>
                        </w:rPr>
                        <w:t>(They are not so basic).</w:t>
                      </w:r>
                    </w:p>
                    <w:p w:rsidR="002349E5" w:rsidRPr="00DF08BD" w:rsidRDefault="00DF08BD" w:rsidP="0061118F">
                      <w:pPr>
                        <w:jc w:val="center"/>
                        <w:rPr>
                          <w:rFonts w:ascii="Times New Roman" w:hAnsi="Times New Roman"/>
                          <w:b/>
                          <w:sz w:val="28"/>
                          <w:szCs w:val="28"/>
                        </w:rPr>
                      </w:pPr>
                      <w:r w:rsidRPr="00DF08BD">
                        <w:rPr>
                          <w:rFonts w:ascii="Times New Roman" w:hAnsi="Times New Roman"/>
                          <w:b/>
                          <w:sz w:val="28"/>
                          <w:szCs w:val="28"/>
                        </w:rPr>
                        <w:t>Presented to San Francisco Federal Credit Union</w:t>
                      </w:r>
                    </w:p>
                  </w:txbxContent>
                </v:textbox>
              </v:shape>
            </w:pict>
          </mc:Fallback>
        </mc:AlternateContent>
      </w:r>
      <w:r w:rsidR="00DF08BD">
        <w:rPr>
          <w:rFonts w:ascii="Times New Roman" w:hAnsi="Times New Roman"/>
          <w:sz w:val="24"/>
          <w:szCs w:val="24"/>
        </w:rPr>
        <w:t>July 7</w:t>
      </w:r>
      <w:r w:rsidR="00A942AB">
        <w:rPr>
          <w:rFonts w:ascii="Times New Roman" w:hAnsi="Times New Roman"/>
          <w:sz w:val="24"/>
          <w:szCs w:val="24"/>
        </w:rPr>
        <w:t>, 2014</w:t>
      </w:r>
    </w:p>
    <w:p w:rsidR="0046209D" w:rsidRDefault="0046209D" w:rsidP="0061118F">
      <w:pPr>
        <w:jc w:val="center"/>
        <w:rPr>
          <w:rFonts w:ascii="Times New Roman" w:hAnsi="Times New Roman"/>
          <w:sz w:val="24"/>
          <w:szCs w:val="24"/>
        </w:rPr>
      </w:pPr>
    </w:p>
    <w:p w:rsidR="0046209D" w:rsidRPr="009833A7" w:rsidRDefault="0046209D" w:rsidP="0061118F">
      <w:pPr>
        <w:jc w:val="center"/>
        <w:rPr>
          <w:rFonts w:ascii="Times New Roman" w:hAnsi="Times New Roman"/>
          <w:sz w:val="24"/>
          <w:szCs w:val="24"/>
        </w:rPr>
      </w:pPr>
    </w:p>
    <w:p w:rsidR="0061118F" w:rsidRPr="009833A7" w:rsidRDefault="0061118F" w:rsidP="0061118F">
      <w:pPr>
        <w:pStyle w:val="Header"/>
        <w:tabs>
          <w:tab w:val="clear" w:pos="4320"/>
          <w:tab w:val="clear" w:pos="8640"/>
        </w:tabs>
        <w:rPr>
          <w:b/>
          <w:bCs/>
          <w:szCs w:val="24"/>
        </w:rPr>
      </w:pPr>
    </w:p>
    <w:p w:rsidR="0061118F" w:rsidRPr="009833A7" w:rsidRDefault="0061118F" w:rsidP="0061118F">
      <w:pPr>
        <w:pStyle w:val="Header"/>
        <w:tabs>
          <w:tab w:val="clear" w:pos="4320"/>
          <w:tab w:val="clear" w:pos="8640"/>
        </w:tabs>
        <w:rPr>
          <w:b/>
          <w:bCs/>
          <w:szCs w:val="24"/>
        </w:rPr>
      </w:pPr>
    </w:p>
    <w:p w:rsidR="0061118F" w:rsidRPr="009833A7" w:rsidRDefault="0061118F" w:rsidP="0061118F">
      <w:pPr>
        <w:pStyle w:val="Header"/>
        <w:tabs>
          <w:tab w:val="clear" w:pos="4320"/>
          <w:tab w:val="clear" w:pos="8640"/>
        </w:tabs>
        <w:rPr>
          <w:b/>
          <w:bCs/>
          <w:szCs w:val="24"/>
        </w:rPr>
      </w:pPr>
    </w:p>
    <w:p w:rsidR="0061118F" w:rsidRPr="009833A7" w:rsidRDefault="0061118F" w:rsidP="0061118F">
      <w:pPr>
        <w:pStyle w:val="Header"/>
        <w:tabs>
          <w:tab w:val="clear" w:pos="4320"/>
          <w:tab w:val="clear" w:pos="8640"/>
        </w:tabs>
        <w:rPr>
          <w:b/>
          <w:bCs/>
          <w:szCs w:val="24"/>
        </w:rPr>
      </w:pPr>
    </w:p>
    <w:p w:rsidR="0061118F" w:rsidRPr="009833A7" w:rsidRDefault="0061118F" w:rsidP="0061118F">
      <w:pPr>
        <w:pStyle w:val="Header"/>
        <w:tabs>
          <w:tab w:val="clear" w:pos="4320"/>
          <w:tab w:val="clear" w:pos="8640"/>
        </w:tabs>
        <w:rPr>
          <w:b/>
          <w:bCs/>
          <w:szCs w:val="24"/>
        </w:rPr>
      </w:pPr>
    </w:p>
    <w:p w:rsidR="0061118F" w:rsidRDefault="0061118F" w:rsidP="0061118F">
      <w:pPr>
        <w:pStyle w:val="Header"/>
        <w:tabs>
          <w:tab w:val="clear" w:pos="4320"/>
          <w:tab w:val="clear" w:pos="8640"/>
        </w:tabs>
        <w:rPr>
          <w:szCs w:val="24"/>
        </w:rPr>
      </w:pPr>
      <w:r w:rsidRPr="009833A7">
        <w:rPr>
          <w:b/>
          <w:bCs/>
          <w:szCs w:val="24"/>
        </w:rPr>
        <w:t>Disclaimer:</w:t>
      </w:r>
      <w:r w:rsidRPr="009833A7">
        <w:rPr>
          <w:szCs w:val="24"/>
        </w:rPr>
        <w:t xml:space="preserve">  The following outline contains general principles of law that cannot be applied to every case. Some issues covered are subject to developing law that cannot be forecast or predicted with certainty.  In the event that you encounter issues covered in this outline, you should review the appropriate response with counsel experienced in this area of law. Entire presentations could be given on any number of subjects in this outline. The intention of the presenter is to give an overview of the </w:t>
      </w:r>
      <w:r w:rsidR="00672C93">
        <w:rPr>
          <w:szCs w:val="24"/>
        </w:rPr>
        <w:t xml:space="preserve">issues covered </w:t>
      </w:r>
      <w:r w:rsidRPr="009833A7">
        <w:rPr>
          <w:szCs w:val="24"/>
        </w:rPr>
        <w:t xml:space="preserve">and to highlight </w:t>
      </w:r>
      <w:r w:rsidR="00672C93">
        <w:rPr>
          <w:szCs w:val="24"/>
        </w:rPr>
        <w:t>trends that are emerging not to provide advice applicable to any particular case</w:t>
      </w:r>
      <w:r w:rsidRPr="009833A7">
        <w:rPr>
          <w:szCs w:val="24"/>
        </w:rPr>
        <w:t xml:space="preserve">. </w:t>
      </w:r>
    </w:p>
    <w:p w:rsidR="009F28FA" w:rsidRDefault="009F28FA" w:rsidP="0061118F">
      <w:pPr>
        <w:pStyle w:val="Header"/>
        <w:tabs>
          <w:tab w:val="clear" w:pos="4320"/>
          <w:tab w:val="clear" w:pos="8640"/>
        </w:tabs>
        <w:rPr>
          <w:szCs w:val="24"/>
        </w:rPr>
      </w:pPr>
    </w:p>
    <w:p w:rsidR="009F28FA" w:rsidRDefault="009F28FA" w:rsidP="0061118F">
      <w:pPr>
        <w:pStyle w:val="Header"/>
        <w:tabs>
          <w:tab w:val="clear" w:pos="4320"/>
          <w:tab w:val="clear" w:pos="8640"/>
        </w:tabs>
        <w:rPr>
          <w:szCs w:val="24"/>
        </w:rPr>
      </w:pPr>
    </w:p>
    <w:p w:rsidR="009F28FA" w:rsidRDefault="009F28FA" w:rsidP="0061118F">
      <w:pPr>
        <w:pStyle w:val="Header"/>
        <w:tabs>
          <w:tab w:val="clear" w:pos="4320"/>
          <w:tab w:val="clear" w:pos="8640"/>
        </w:tabs>
        <w:rPr>
          <w:szCs w:val="24"/>
        </w:rPr>
      </w:pPr>
    </w:p>
    <w:p w:rsidR="009F28FA" w:rsidRDefault="009F28FA" w:rsidP="0061118F">
      <w:pPr>
        <w:pStyle w:val="Header"/>
        <w:tabs>
          <w:tab w:val="clear" w:pos="4320"/>
          <w:tab w:val="clear" w:pos="8640"/>
        </w:tabs>
        <w:rPr>
          <w:szCs w:val="24"/>
        </w:rPr>
      </w:pPr>
    </w:p>
    <w:p w:rsidR="009F28FA" w:rsidRDefault="009F28FA" w:rsidP="0061118F">
      <w:pPr>
        <w:pStyle w:val="Header"/>
        <w:tabs>
          <w:tab w:val="clear" w:pos="4320"/>
          <w:tab w:val="clear" w:pos="8640"/>
        </w:tabs>
        <w:rPr>
          <w:szCs w:val="24"/>
        </w:rPr>
      </w:pPr>
    </w:p>
    <w:p w:rsidR="009F28FA" w:rsidRDefault="009F28FA" w:rsidP="0061118F">
      <w:pPr>
        <w:pStyle w:val="Header"/>
        <w:tabs>
          <w:tab w:val="clear" w:pos="4320"/>
          <w:tab w:val="clear" w:pos="8640"/>
        </w:tabs>
        <w:rPr>
          <w:szCs w:val="24"/>
        </w:rPr>
      </w:pPr>
    </w:p>
    <w:p w:rsidR="009F28FA" w:rsidRDefault="009F28FA" w:rsidP="0061118F">
      <w:pPr>
        <w:pStyle w:val="Header"/>
        <w:tabs>
          <w:tab w:val="clear" w:pos="4320"/>
          <w:tab w:val="clear" w:pos="8640"/>
        </w:tabs>
        <w:rPr>
          <w:szCs w:val="24"/>
        </w:rPr>
      </w:pPr>
    </w:p>
    <w:p w:rsidR="00841D5E" w:rsidRPr="00B0125E" w:rsidRDefault="002E3589" w:rsidP="00FF301A">
      <w:pPr>
        <w:pStyle w:val="Header"/>
        <w:tabs>
          <w:tab w:val="clear" w:pos="4320"/>
          <w:tab w:val="clear" w:pos="8640"/>
          <w:tab w:val="left" w:pos="3627"/>
        </w:tabs>
        <w:ind w:left="360"/>
        <w:rPr>
          <w:b/>
          <w:szCs w:val="24"/>
        </w:rPr>
      </w:pPr>
      <w:bookmarkStart w:id="0" w:name="_GoBack"/>
      <w:bookmarkEnd w:id="0"/>
      <w:r w:rsidRPr="00B0125E">
        <w:rPr>
          <w:b/>
          <w:noProof/>
          <w:szCs w:val="24"/>
        </w:rPr>
        <w:lastRenderedPageBreak/>
        <w:drawing>
          <wp:inline distT="0" distB="0" distL="0" distR="0" wp14:anchorId="407F6E41" wp14:editId="73B59A30">
            <wp:extent cx="951725" cy="903739"/>
            <wp:effectExtent l="19050" t="0" r="775" b="0"/>
            <wp:docPr id="5" name="Picture 5" descr="C:\Documents and Settings\sscheer\Local Settings\Temporary Internet Files\Content.IE5\83J3A4H1\MC9000567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scheer\Local Settings\Temporary Internet Files\Content.IE5\83J3A4H1\MC900056784[1].wmf"/>
                    <pic:cNvPicPr>
                      <a:picLocks noChangeAspect="1" noChangeArrowheads="1"/>
                    </pic:cNvPicPr>
                  </pic:nvPicPr>
                  <pic:blipFill>
                    <a:blip r:embed="rId9" cstate="print"/>
                    <a:srcRect/>
                    <a:stretch>
                      <a:fillRect/>
                    </a:stretch>
                  </pic:blipFill>
                  <pic:spPr bwMode="auto">
                    <a:xfrm>
                      <a:off x="0" y="0"/>
                      <a:ext cx="954249" cy="906136"/>
                    </a:xfrm>
                    <a:prstGeom prst="rect">
                      <a:avLst/>
                    </a:prstGeom>
                    <a:noFill/>
                    <a:ln w="9525">
                      <a:noFill/>
                      <a:miter lim="800000"/>
                      <a:headEnd/>
                      <a:tailEnd/>
                    </a:ln>
                  </pic:spPr>
                </pic:pic>
              </a:graphicData>
            </a:graphic>
          </wp:inline>
        </w:drawing>
      </w:r>
      <w:r w:rsidR="00453E21">
        <w:rPr>
          <w:b/>
          <w:szCs w:val="24"/>
        </w:rPr>
        <w:t xml:space="preserve">    Bankruptcy (Chapter 7 &amp; 13 Considerations): </w:t>
      </w:r>
      <w:r w:rsidRPr="00B0125E">
        <w:rPr>
          <w:b/>
          <w:szCs w:val="24"/>
        </w:rPr>
        <w:t xml:space="preserve">  </w:t>
      </w:r>
    </w:p>
    <w:p w:rsidR="004D2E49" w:rsidRPr="00B0125E" w:rsidRDefault="004D2E49" w:rsidP="004D2E49">
      <w:pPr>
        <w:pStyle w:val="Header"/>
        <w:tabs>
          <w:tab w:val="clear" w:pos="4320"/>
          <w:tab w:val="clear" w:pos="8640"/>
        </w:tabs>
        <w:rPr>
          <w:szCs w:val="24"/>
        </w:rPr>
      </w:pPr>
    </w:p>
    <w:p w:rsidR="004D2E49" w:rsidRPr="00B0125E" w:rsidRDefault="004D2E49" w:rsidP="004D2E49">
      <w:pPr>
        <w:pStyle w:val="Header"/>
        <w:tabs>
          <w:tab w:val="clear" w:pos="4320"/>
          <w:tab w:val="clear" w:pos="8640"/>
        </w:tabs>
        <w:rPr>
          <w:szCs w:val="24"/>
        </w:rPr>
      </w:pPr>
    </w:p>
    <w:p w:rsidR="00B0125E" w:rsidRPr="00B0125E" w:rsidRDefault="00B0125E" w:rsidP="008459EF">
      <w:pPr>
        <w:pStyle w:val="Header"/>
        <w:numPr>
          <w:ilvl w:val="0"/>
          <w:numId w:val="5"/>
        </w:numPr>
        <w:tabs>
          <w:tab w:val="clear" w:pos="4320"/>
          <w:tab w:val="clear" w:pos="8640"/>
        </w:tabs>
        <w:ind w:left="720"/>
        <w:rPr>
          <w:szCs w:val="24"/>
        </w:rPr>
      </w:pPr>
      <w:r w:rsidRPr="00B0125E">
        <w:rPr>
          <w:b/>
          <w:szCs w:val="24"/>
          <w:u w:val="single"/>
        </w:rPr>
        <w:t>Automatic Stay</w:t>
      </w:r>
      <w:r w:rsidRPr="00B0125E">
        <w:rPr>
          <w:szCs w:val="24"/>
        </w:rPr>
        <w:t xml:space="preserve">:  Stops you from taking any action to create, perfect or enforce lien or collect on debt. </w:t>
      </w:r>
    </w:p>
    <w:p w:rsidR="00B0125E" w:rsidRPr="00B0125E" w:rsidRDefault="00B0125E" w:rsidP="008459EF">
      <w:pPr>
        <w:pStyle w:val="Header"/>
        <w:tabs>
          <w:tab w:val="clear" w:pos="4320"/>
          <w:tab w:val="clear" w:pos="8640"/>
        </w:tabs>
        <w:ind w:left="1440"/>
        <w:rPr>
          <w:b/>
          <w:szCs w:val="24"/>
          <w:u w:val="single"/>
        </w:rPr>
      </w:pPr>
    </w:p>
    <w:p w:rsidR="00B0125E" w:rsidRDefault="00B0125E" w:rsidP="008459EF">
      <w:pPr>
        <w:pStyle w:val="Header"/>
        <w:tabs>
          <w:tab w:val="clear" w:pos="4320"/>
          <w:tab w:val="clear" w:pos="8640"/>
        </w:tabs>
        <w:ind w:left="1440"/>
        <w:rPr>
          <w:szCs w:val="24"/>
        </w:rPr>
      </w:pPr>
      <w:r w:rsidRPr="00B0125E">
        <w:rPr>
          <w:b/>
          <w:szCs w:val="24"/>
          <w:u w:val="single"/>
        </w:rPr>
        <w:t>Question:</w:t>
      </w:r>
      <w:r w:rsidRPr="00B0125E">
        <w:rPr>
          <w:szCs w:val="24"/>
        </w:rPr>
        <w:t xml:space="preserve">  What is someone tells you they have retained an attorney an</w:t>
      </w:r>
      <w:r w:rsidR="003047D8">
        <w:rPr>
          <w:szCs w:val="24"/>
        </w:rPr>
        <w:t>d are going to file BK.   What sh</w:t>
      </w:r>
      <w:r w:rsidRPr="00B0125E">
        <w:rPr>
          <w:szCs w:val="24"/>
        </w:rPr>
        <w:t>ould you do?</w:t>
      </w:r>
    </w:p>
    <w:p w:rsidR="002F05DF" w:rsidRDefault="002F05DF" w:rsidP="008459EF">
      <w:pPr>
        <w:pStyle w:val="Header"/>
        <w:tabs>
          <w:tab w:val="clear" w:pos="4320"/>
          <w:tab w:val="clear" w:pos="8640"/>
        </w:tabs>
        <w:ind w:left="1440"/>
        <w:rPr>
          <w:szCs w:val="24"/>
        </w:rPr>
      </w:pPr>
    </w:p>
    <w:p w:rsidR="002F05DF" w:rsidRPr="00B0125E" w:rsidRDefault="002F05DF" w:rsidP="008459EF">
      <w:pPr>
        <w:pStyle w:val="Header"/>
        <w:tabs>
          <w:tab w:val="clear" w:pos="4320"/>
          <w:tab w:val="clear" w:pos="8640"/>
        </w:tabs>
        <w:ind w:left="1440"/>
        <w:rPr>
          <w:szCs w:val="24"/>
        </w:rPr>
      </w:pPr>
      <w:r w:rsidRPr="003047D8">
        <w:rPr>
          <w:b/>
          <w:szCs w:val="24"/>
          <w:u w:val="single"/>
        </w:rPr>
        <w:t>Question</w:t>
      </w:r>
      <w:r>
        <w:rPr>
          <w:szCs w:val="24"/>
        </w:rPr>
        <w:t>: Which of the following are stayed:  wage garnishments</w:t>
      </w:r>
      <w:r w:rsidR="00F24401">
        <w:rPr>
          <w:szCs w:val="24"/>
        </w:rPr>
        <w:t>, collection</w:t>
      </w:r>
      <w:r>
        <w:rPr>
          <w:szCs w:val="24"/>
        </w:rPr>
        <w:t xml:space="preserve"> calls, foreclosures</w:t>
      </w:r>
      <w:r w:rsidR="00F24401">
        <w:rPr>
          <w:szCs w:val="24"/>
        </w:rPr>
        <w:t>?</w:t>
      </w:r>
      <w:r>
        <w:rPr>
          <w:szCs w:val="24"/>
        </w:rPr>
        <w:t xml:space="preserve"> </w:t>
      </w:r>
    </w:p>
    <w:p w:rsidR="0072056C" w:rsidRDefault="007F2A42" w:rsidP="00B0125E">
      <w:pPr>
        <w:pStyle w:val="Header"/>
        <w:numPr>
          <w:ilvl w:val="0"/>
          <w:numId w:val="5"/>
        </w:numPr>
        <w:tabs>
          <w:tab w:val="clear" w:pos="4320"/>
          <w:tab w:val="clear" w:pos="8640"/>
        </w:tabs>
        <w:rPr>
          <w:szCs w:val="24"/>
        </w:rPr>
      </w:pPr>
      <w:r>
        <w:rPr>
          <w:szCs w:val="24"/>
        </w:rPr>
        <w:t xml:space="preserve">  </w:t>
      </w:r>
      <w:r>
        <w:rPr>
          <w:noProof/>
          <w:szCs w:val="24"/>
        </w:rPr>
        <w:drawing>
          <wp:inline distT="0" distB="0" distL="0" distR="0">
            <wp:extent cx="716280" cy="716280"/>
            <wp:effectExtent l="0" t="0" r="0" b="0"/>
            <wp:docPr id="7" name="Picture 7" descr="C:\Documents and Settings\sscheer\Local Settings\Temporary Internet Files\Content.IE5\BV173504\MC9004370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scheer\Local Settings\Temporary Internet Files\Content.IE5\BV173504\MC900437056[1].png"/>
                    <pic:cNvPicPr>
                      <a:picLocks noChangeAspect="1" noChangeArrowheads="1"/>
                    </pic:cNvPicPr>
                  </pic:nvPicPr>
                  <pic:blipFill>
                    <a:blip r:embed="rId10" cstate="print"/>
                    <a:srcRect/>
                    <a:stretch>
                      <a:fillRect/>
                    </a:stretch>
                  </pic:blipFill>
                  <pic:spPr bwMode="auto">
                    <a:xfrm>
                      <a:off x="0" y="0"/>
                      <a:ext cx="716280" cy="716280"/>
                    </a:xfrm>
                    <a:prstGeom prst="rect">
                      <a:avLst/>
                    </a:prstGeom>
                    <a:noFill/>
                    <a:ln w="9525">
                      <a:noFill/>
                      <a:miter lim="800000"/>
                      <a:headEnd/>
                      <a:tailEnd/>
                    </a:ln>
                  </pic:spPr>
                </pic:pic>
              </a:graphicData>
            </a:graphic>
          </wp:inline>
        </w:drawing>
      </w:r>
      <w:r w:rsidR="00B0125E" w:rsidRPr="00B0125E">
        <w:rPr>
          <w:szCs w:val="24"/>
        </w:rPr>
        <w:t xml:space="preserve"> </w:t>
      </w:r>
      <w:r w:rsidR="00B0125E" w:rsidRPr="00F24401">
        <w:rPr>
          <w:b/>
          <w:sz w:val="28"/>
          <w:szCs w:val="28"/>
        </w:rPr>
        <w:t>Chapter 7</w:t>
      </w:r>
      <w:r w:rsidR="00B0125E" w:rsidRPr="00B0125E">
        <w:rPr>
          <w:szCs w:val="24"/>
        </w:rPr>
        <w:t xml:space="preserve">:  </w:t>
      </w:r>
    </w:p>
    <w:p w:rsidR="00F24401" w:rsidRDefault="00F24401" w:rsidP="00F24401">
      <w:pPr>
        <w:pStyle w:val="Header"/>
        <w:tabs>
          <w:tab w:val="clear" w:pos="4320"/>
          <w:tab w:val="clear" w:pos="8640"/>
        </w:tabs>
        <w:ind w:left="1080"/>
        <w:rPr>
          <w:szCs w:val="24"/>
        </w:rPr>
      </w:pPr>
    </w:p>
    <w:p w:rsidR="002F05DF" w:rsidRDefault="002F05DF" w:rsidP="002F05DF">
      <w:pPr>
        <w:pStyle w:val="Header"/>
        <w:numPr>
          <w:ilvl w:val="1"/>
          <w:numId w:val="5"/>
        </w:numPr>
        <w:tabs>
          <w:tab w:val="clear" w:pos="4320"/>
          <w:tab w:val="clear" w:pos="8640"/>
        </w:tabs>
        <w:rPr>
          <w:szCs w:val="24"/>
        </w:rPr>
      </w:pPr>
      <w:r>
        <w:rPr>
          <w:szCs w:val="24"/>
        </w:rPr>
        <w:t xml:space="preserve">Two Automatic Stays?  One for the </w:t>
      </w:r>
      <w:r w:rsidR="008E730E">
        <w:rPr>
          <w:szCs w:val="24"/>
        </w:rPr>
        <w:t>Debtor,</w:t>
      </w:r>
      <w:r>
        <w:rPr>
          <w:szCs w:val="24"/>
        </w:rPr>
        <w:t xml:space="preserve"> the other for the _________?</w:t>
      </w:r>
    </w:p>
    <w:p w:rsidR="002F05DF" w:rsidRDefault="002F05DF" w:rsidP="002F05DF">
      <w:pPr>
        <w:pStyle w:val="Header"/>
        <w:numPr>
          <w:ilvl w:val="1"/>
          <w:numId w:val="5"/>
        </w:numPr>
        <w:tabs>
          <w:tab w:val="clear" w:pos="4320"/>
          <w:tab w:val="clear" w:pos="8640"/>
        </w:tabs>
        <w:rPr>
          <w:szCs w:val="24"/>
        </w:rPr>
      </w:pPr>
      <w:r>
        <w:rPr>
          <w:szCs w:val="24"/>
        </w:rPr>
        <w:t>Liquidation or reorganization?</w:t>
      </w:r>
    </w:p>
    <w:p w:rsidR="002F05DF" w:rsidRDefault="002F05DF" w:rsidP="002F05DF">
      <w:pPr>
        <w:pStyle w:val="Header"/>
        <w:numPr>
          <w:ilvl w:val="1"/>
          <w:numId w:val="5"/>
        </w:numPr>
        <w:tabs>
          <w:tab w:val="clear" w:pos="4320"/>
          <w:tab w:val="clear" w:pos="8640"/>
        </w:tabs>
        <w:rPr>
          <w:szCs w:val="24"/>
        </w:rPr>
      </w:pPr>
      <w:r w:rsidRPr="00EA001C">
        <w:rPr>
          <w:i/>
          <w:szCs w:val="24"/>
        </w:rPr>
        <w:t>Statement of Intentions</w:t>
      </w:r>
      <w:r>
        <w:rPr>
          <w:szCs w:val="24"/>
        </w:rPr>
        <w:t>:  Indicates what the Debtor intends on doing and what should be done.</w:t>
      </w:r>
    </w:p>
    <w:p w:rsidR="002F05DF" w:rsidRDefault="002F05DF" w:rsidP="002F05DF">
      <w:pPr>
        <w:pStyle w:val="Header"/>
        <w:tabs>
          <w:tab w:val="clear" w:pos="4320"/>
          <w:tab w:val="clear" w:pos="8640"/>
        </w:tabs>
        <w:ind w:left="1800"/>
        <w:rPr>
          <w:szCs w:val="24"/>
        </w:rPr>
      </w:pPr>
    </w:p>
    <w:p w:rsidR="002F05DF" w:rsidRDefault="002F05DF" w:rsidP="002F05DF">
      <w:pPr>
        <w:pStyle w:val="Header"/>
        <w:tabs>
          <w:tab w:val="clear" w:pos="4320"/>
          <w:tab w:val="clear" w:pos="8640"/>
        </w:tabs>
        <w:ind w:left="1800"/>
        <w:rPr>
          <w:szCs w:val="24"/>
        </w:rPr>
      </w:pPr>
      <w:r w:rsidRPr="002F05DF">
        <w:rPr>
          <w:b/>
          <w:szCs w:val="24"/>
          <w:u w:val="single"/>
        </w:rPr>
        <w:t>Key Points to Consider</w:t>
      </w:r>
      <w:r>
        <w:rPr>
          <w:szCs w:val="24"/>
        </w:rPr>
        <w:t>:</w:t>
      </w:r>
    </w:p>
    <w:p w:rsidR="002F05DF" w:rsidRPr="00DD567F" w:rsidRDefault="002F05DF" w:rsidP="002F05DF">
      <w:pPr>
        <w:pStyle w:val="Header"/>
        <w:tabs>
          <w:tab w:val="clear" w:pos="4320"/>
          <w:tab w:val="clear" w:pos="8640"/>
        </w:tabs>
        <w:ind w:left="1800"/>
        <w:rPr>
          <w:b/>
          <w:szCs w:val="24"/>
        </w:rPr>
      </w:pPr>
    </w:p>
    <w:tbl>
      <w:tblPr>
        <w:tblStyle w:val="TableGrid"/>
        <w:tblW w:w="0" w:type="auto"/>
        <w:tblInd w:w="468" w:type="dxa"/>
        <w:tblLayout w:type="fixed"/>
        <w:tblLook w:val="04A0" w:firstRow="1" w:lastRow="0" w:firstColumn="1" w:lastColumn="0" w:noHBand="0" w:noVBand="1"/>
      </w:tblPr>
      <w:tblGrid>
        <w:gridCol w:w="1170"/>
        <w:gridCol w:w="1980"/>
        <w:gridCol w:w="900"/>
        <w:gridCol w:w="2147"/>
        <w:gridCol w:w="913"/>
        <w:gridCol w:w="2250"/>
      </w:tblGrid>
      <w:tr w:rsidR="002F05DF" w:rsidRPr="00DD567F" w:rsidTr="008459EF">
        <w:tc>
          <w:tcPr>
            <w:tcW w:w="3150" w:type="dxa"/>
            <w:gridSpan w:val="2"/>
          </w:tcPr>
          <w:p w:rsidR="002F05DF" w:rsidRPr="00DD567F" w:rsidRDefault="002F05DF" w:rsidP="002F05DF">
            <w:pPr>
              <w:pStyle w:val="Header"/>
              <w:tabs>
                <w:tab w:val="clear" w:pos="4320"/>
                <w:tab w:val="clear" w:pos="8640"/>
              </w:tabs>
              <w:rPr>
                <w:b/>
                <w:szCs w:val="24"/>
              </w:rPr>
            </w:pPr>
            <w:r w:rsidRPr="00DD567F">
              <w:rPr>
                <w:b/>
                <w:szCs w:val="24"/>
              </w:rPr>
              <w:t xml:space="preserve">Unsecured </w:t>
            </w:r>
          </w:p>
        </w:tc>
        <w:tc>
          <w:tcPr>
            <w:tcW w:w="3047" w:type="dxa"/>
            <w:gridSpan w:val="2"/>
          </w:tcPr>
          <w:p w:rsidR="002F05DF" w:rsidRPr="00DD567F" w:rsidRDefault="002F05DF" w:rsidP="002F05DF">
            <w:pPr>
              <w:pStyle w:val="Header"/>
              <w:tabs>
                <w:tab w:val="clear" w:pos="4320"/>
                <w:tab w:val="clear" w:pos="8640"/>
              </w:tabs>
              <w:rPr>
                <w:b/>
                <w:szCs w:val="24"/>
              </w:rPr>
            </w:pPr>
            <w:r w:rsidRPr="00DD567F">
              <w:rPr>
                <w:b/>
                <w:szCs w:val="24"/>
              </w:rPr>
              <w:t>Automobile</w:t>
            </w:r>
          </w:p>
        </w:tc>
        <w:tc>
          <w:tcPr>
            <w:tcW w:w="3163" w:type="dxa"/>
            <w:gridSpan w:val="2"/>
          </w:tcPr>
          <w:p w:rsidR="002F05DF" w:rsidRPr="00DD567F" w:rsidRDefault="002F05DF" w:rsidP="002F05DF">
            <w:pPr>
              <w:pStyle w:val="Header"/>
              <w:tabs>
                <w:tab w:val="clear" w:pos="4320"/>
                <w:tab w:val="clear" w:pos="8640"/>
              </w:tabs>
              <w:rPr>
                <w:b/>
                <w:szCs w:val="24"/>
              </w:rPr>
            </w:pPr>
            <w:r w:rsidRPr="00DD567F">
              <w:rPr>
                <w:b/>
                <w:szCs w:val="24"/>
              </w:rPr>
              <w:t>Real Property</w:t>
            </w:r>
          </w:p>
        </w:tc>
      </w:tr>
      <w:tr w:rsidR="00DD567F" w:rsidTr="008459EF">
        <w:tc>
          <w:tcPr>
            <w:tcW w:w="1170" w:type="dxa"/>
          </w:tcPr>
          <w:p w:rsidR="00DD567F" w:rsidRPr="00DC3E67" w:rsidRDefault="00DD567F" w:rsidP="00DD567F">
            <w:pPr>
              <w:pStyle w:val="Header"/>
              <w:tabs>
                <w:tab w:val="clear" w:pos="4320"/>
                <w:tab w:val="clear" w:pos="8640"/>
              </w:tabs>
              <w:rPr>
                <w:sz w:val="22"/>
                <w:szCs w:val="22"/>
              </w:rPr>
            </w:pPr>
            <w:r w:rsidRPr="00DC3E67">
              <w:rPr>
                <w:b/>
                <w:sz w:val="22"/>
                <w:szCs w:val="22"/>
              </w:rPr>
              <w:t>Reaff</w:t>
            </w:r>
            <w:r w:rsidRPr="00DC3E67">
              <w:rPr>
                <w:sz w:val="22"/>
                <w:szCs w:val="22"/>
              </w:rPr>
              <w:t>:</w:t>
            </w:r>
          </w:p>
        </w:tc>
        <w:tc>
          <w:tcPr>
            <w:tcW w:w="1980" w:type="dxa"/>
          </w:tcPr>
          <w:p w:rsidR="00DD567F" w:rsidRPr="00DC3E67" w:rsidRDefault="00DD567F" w:rsidP="002F05DF">
            <w:pPr>
              <w:pStyle w:val="Header"/>
              <w:tabs>
                <w:tab w:val="clear" w:pos="4320"/>
                <w:tab w:val="clear" w:pos="8640"/>
              </w:tabs>
              <w:rPr>
                <w:sz w:val="22"/>
                <w:szCs w:val="22"/>
              </w:rPr>
            </w:pPr>
            <w:r w:rsidRPr="00DC3E67">
              <w:rPr>
                <w:sz w:val="22"/>
                <w:szCs w:val="22"/>
              </w:rPr>
              <w:t>Usually based on Non Discharge</w:t>
            </w:r>
          </w:p>
        </w:tc>
        <w:tc>
          <w:tcPr>
            <w:tcW w:w="900" w:type="dxa"/>
          </w:tcPr>
          <w:p w:rsidR="00DD567F" w:rsidRPr="00DC3E67" w:rsidRDefault="00DD567F" w:rsidP="002F05DF">
            <w:pPr>
              <w:pStyle w:val="Header"/>
              <w:tabs>
                <w:tab w:val="clear" w:pos="4320"/>
                <w:tab w:val="clear" w:pos="8640"/>
              </w:tabs>
              <w:rPr>
                <w:b/>
                <w:sz w:val="22"/>
                <w:szCs w:val="22"/>
              </w:rPr>
            </w:pPr>
            <w:r w:rsidRPr="00DC3E67">
              <w:rPr>
                <w:b/>
                <w:sz w:val="22"/>
                <w:szCs w:val="22"/>
              </w:rPr>
              <w:t>Reaf</w:t>
            </w:r>
            <w:r w:rsidR="00262A57" w:rsidRPr="00DC3E67">
              <w:rPr>
                <w:b/>
                <w:sz w:val="22"/>
                <w:szCs w:val="22"/>
              </w:rPr>
              <w:t>f:</w:t>
            </w:r>
          </w:p>
        </w:tc>
        <w:tc>
          <w:tcPr>
            <w:tcW w:w="2147" w:type="dxa"/>
          </w:tcPr>
          <w:p w:rsidR="00DD567F" w:rsidRPr="00DC3E67" w:rsidRDefault="00DD567F" w:rsidP="00DD567F">
            <w:pPr>
              <w:pStyle w:val="Header"/>
              <w:numPr>
                <w:ilvl w:val="0"/>
                <w:numId w:val="8"/>
              </w:numPr>
              <w:tabs>
                <w:tab w:val="clear" w:pos="4320"/>
                <w:tab w:val="clear" w:pos="8640"/>
              </w:tabs>
              <w:rPr>
                <w:sz w:val="22"/>
                <w:szCs w:val="22"/>
              </w:rPr>
            </w:pPr>
            <w:r w:rsidRPr="00DC3E67">
              <w:rPr>
                <w:sz w:val="22"/>
                <w:szCs w:val="22"/>
              </w:rPr>
              <w:t>Non-Discharge</w:t>
            </w:r>
          </w:p>
          <w:p w:rsidR="00DD567F" w:rsidRPr="00DC3E67" w:rsidRDefault="00DD567F" w:rsidP="00DD567F">
            <w:pPr>
              <w:pStyle w:val="Header"/>
              <w:numPr>
                <w:ilvl w:val="0"/>
                <w:numId w:val="8"/>
              </w:numPr>
              <w:tabs>
                <w:tab w:val="clear" w:pos="4320"/>
                <w:tab w:val="clear" w:pos="8640"/>
              </w:tabs>
              <w:rPr>
                <w:sz w:val="22"/>
                <w:szCs w:val="22"/>
              </w:rPr>
            </w:pPr>
            <w:r w:rsidRPr="00DC3E67">
              <w:rPr>
                <w:sz w:val="22"/>
                <w:szCs w:val="22"/>
              </w:rPr>
              <w:t>Retention member priv.</w:t>
            </w:r>
          </w:p>
          <w:p w:rsidR="00DD567F" w:rsidRPr="00DC3E67" w:rsidRDefault="00DD567F" w:rsidP="00DD567F">
            <w:pPr>
              <w:pStyle w:val="Header"/>
              <w:numPr>
                <w:ilvl w:val="0"/>
                <w:numId w:val="8"/>
              </w:numPr>
              <w:tabs>
                <w:tab w:val="clear" w:pos="4320"/>
                <w:tab w:val="clear" w:pos="8640"/>
              </w:tabs>
              <w:rPr>
                <w:sz w:val="22"/>
                <w:szCs w:val="22"/>
              </w:rPr>
            </w:pPr>
            <w:r w:rsidRPr="00DC3E67">
              <w:rPr>
                <w:sz w:val="22"/>
                <w:szCs w:val="22"/>
              </w:rPr>
              <w:t>For Debt restructuring: “</w:t>
            </w:r>
            <w:r w:rsidRPr="00DC3E67">
              <w:rPr>
                <w:i/>
                <w:sz w:val="22"/>
                <w:szCs w:val="22"/>
              </w:rPr>
              <w:t>Give a little</w:t>
            </w:r>
            <w:r w:rsidRPr="00DC3E67">
              <w:rPr>
                <w:sz w:val="22"/>
                <w:szCs w:val="22"/>
              </w:rPr>
              <w:t xml:space="preserve">. </w:t>
            </w:r>
            <w:r w:rsidRPr="00DC3E67">
              <w:rPr>
                <w:i/>
                <w:sz w:val="22"/>
                <w:szCs w:val="22"/>
              </w:rPr>
              <w:t>Get a lot</w:t>
            </w:r>
            <w:r w:rsidRPr="00DC3E67">
              <w:rPr>
                <w:sz w:val="22"/>
                <w:szCs w:val="22"/>
              </w:rPr>
              <w:t>”.</w:t>
            </w:r>
          </w:p>
        </w:tc>
        <w:tc>
          <w:tcPr>
            <w:tcW w:w="913" w:type="dxa"/>
          </w:tcPr>
          <w:p w:rsidR="00DD567F" w:rsidRPr="00DC3E67" w:rsidRDefault="00DD567F" w:rsidP="002F05DF">
            <w:pPr>
              <w:pStyle w:val="Header"/>
              <w:tabs>
                <w:tab w:val="clear" w:pos="4320"/>
                <w:tab w:val="clear" w:pos="8640"/>
              </w:tabs>
              <w:rPr>
                <w:b/>
                <w:sz w:val="22"/>
                <w:szCs w:val="22"/>
              </w:rPr>
            </w:pPr>
            <w:r w:rsidRPr="00DC3E67">
              <w:rPr>
                <w:b/>
                <w:sz w:val="22"/>
                <w:szCs w:val="22"/>
              </w:rPr>
              <w:t>Reaff</w:t>
            </w:r>
            <w:r w:rsidR="00262A57" w:rsidRPr="00DC3E67">
              <w:rPr>
                <w:b/>
                <w:sz w:val="22"/>
                <w:szCs w:val="22"/>
              </w:rPr>
              <w:t>:</w:t>
            </w:r>
          </w:p>
        </w:tc>
        <w:tc>
          <w:tcPr>
            <w:tcW w:w="2250" w:type="dxa"/>
          </w:tcPr>
          <w:p w:rsidR="00DD567F" w:rsidRPr="00DC3E67" w:rsidRDefault="00DD567F" w:rsidP="00DD567F">
            <w:pPr>
              <w:pStyle w:val="Header"/>
              <w:numPr>
                <w:ilvl w:val="0"/>
                <w:numId w:val="9"/>
              </w:numPr>
              <w:tabs>
                <w:tab w:val="clear" w:pos="4320"/>
                <w:tab w:val="clear" w:pos="8640"/>
              </w:tabs>
              <w:rPr>
                <w:sz w:val="22"/>
                <w:szCs w:val="22"/>
              </w:rPr>
            </w:pPr>
            <w:r w:rsidRPr="00DC3E67">
              <w:rPr>
                <w:sz w:val="22"/>
                <w:szCs w:val="22"/>
              </w:rPr>
              <w:t>Non-Discharge</w:t>
            </w:r>
          </w:p>
          <w:p w:rsidR="00DD567F" w:rsidRPr="00DC3E67" w:rsidRDefault="00DD567F" w:rsidP="00F24401">
            <w:pPr>
              <w:pStyle w:val="Header"/>
              <w:numPr>
                <w:ilvl w:val="1"/>
                <w:numId w:val="9"/>
              </w:numPr>
              <w:tabs>
                <w:tab w:val="clear" w:pos="4320"/>
                <w:tab w:val="clear" w:pos="8640"/>
              </w:tabs>
              <w:rPr>
                <w:sz w:val="22"/>
                <w:szCs w:val="22"/>
              </w:rPr>
            </w:pPr>
            <w:r w:rsidRPr="00DC3E67">
              <w:rPr>
                <w:sz w:val="22"/>
                <w:szCs w:val="22"/>
              </w:rPr>
              <w:t>Waste.</w:t>
            </w:r>
          </w:p>
          <w:p w:rsidR="00F24401" w:rsidRPr="00DC3E67" w:rsidRDefault="00F24401" w:rsidP="00F24401">
            <w:pPr>
              <w:pStyle w:val="Header"/>
              <w:numPr>
                <w:ilvl w:val="1"/>
                <w:numId w:val="9"/>
              </w:numPr>
              <w:tabs>
                <w:tab w:val="clear" w:pos="4320"/>
                <w:tab w:val="clear" w:pos="8640"/>
              </w:tabs>
              <w:rPr>
                <w:sz w:val="22"/>
                <w:szCs w:val="22"/>
              </w:rPr>
            </w:pPr>
            <w:r w:rsidRPr="00DC3E67">
              <w:rPr>
                <w:sz w:val="22"/>
                <w:szCs w:val="22"/>
              </w:rPr>
              <w:t>Fraud.</w:t>
            </w:r>
          </w:p>
          <w:p w:rsidR="00F24401" w:rsidRPr="00DC3E67" w:rsidRDefault="00F24401" w:rsidP="00F24401">
            <w:pPr>
              <w:pStyle w:val="Header"/>
              <w:numPr>
                <w:ilvl w:val="1"/>
                <w:numId w:val="9"/>
              </w:numPr>
              <w:tabs>
                <w:tab w:val="clear" w:pos="4320"/>
                <w:tab w:val="clear" w:pos="8640"/>
              </w:tabs>
              <w:rPr>
                <w:sz w:val="22"/>
                <w:szCs w:val="22"/>
              </w:rPr>
            </w:pPr>
            <w:r w:rsidRPr="00DC3E67">
              <w:rPr>
                <w:sz w:val="22"/>
                <w:szCs w:val="22"/>
              </w:rPr>
              <w:t>Retain member privileges</w:t>
            </w:r>
          </w:p>
          <w:p w:rsidR="00F24401" w:rsidRPr="00DC3E67" w:rsidRDefault="00F24401" w:rsidP="00F24401">
            <w:pPr>
              <w:pStyle w:val="Header"/>
              <w:numPr>
                <w:ilvl w:val="0"/>
                <w:numId w:val="9"/>
              </w:numPr>
              <w:tabs>
                <w:tab w:val="clear" w:pos="4320"/>
                <w:tab w:val="clear" w:pos="8640"/>
              </w:tabs>
              <w:rPr>
                <w:sz w:val="22"/>
                <w:szCs w:val="22"/>
              </w:rPr>
            </w:pPr>
            <w:r w:rsidRPr="00DC3E67">
              <w:rPr>
                <w:b/>
                <w:sz w:val="22"/>
                <w:szCs w:val="22"/>
              </w:rPr>
              <w:t>Note</w:t>
            </w:r>
            <w:r w:rsidRPr="00DC3E67">
              <w:rPr>
                <w:sz w:val="22"/>
                <w:szCs w:val="22"/>
              </w:rPr>
              <w:t>: Import for junior lienors who could sue after senior FC.</w:t>
            </w:r>
          </w:p>
        </w:tc>
      </w:tr>
      <w:tr w:rsidR="002F05DF" w:rsidTr="008459EF">
        <w:tc>
          <w:tcPr>
            <w:tcW w:w="3150" w:type="dxa"/>
            <w:gridSpan w:val="2"/>
          </w:tcPr>
          <w:p w:rsidR="002F05DF" w:rsidRPr="00DC3E67" w:rsidRDefault="002F05DF" w:rsidP="002F05DF">
            <w:pPr>
              <w:pStyle w:val="Header"/>
              <w:tabs>
                <w:tab w:val="clear" w:pos="4320"/>
                <w:tab w:val="clear" w:pos="8640"/>
              </w:tabs>
              <w:rPr>
                <w:sz w:val="22"/>
                <w:szCs w:val="22"/>
              </w:rPr>
            </w:pPr>
            <w:r w:rsidRPr="00DC3E67">
              <w:rPr>
                <w:b/>
                <w:sz w:val="22"/>
                <w:szCs w:val="22"/>
              </w:rPr>
              <w:t>Proof of Claim</w:t>
            </w:r>
            <w:r w:rsidR="00DD567F" w:rsidRPr="00DC3E67">
              <w:rPr>
                <w:sz w:val="22"/>
                <w:szCs w:val="22"/>
              </w:rPr>
              <w:t xml:space="preserve">: </w:t>
            </w:r>
            <w:r w:rsidRPr="00DC3E67">
              <w:rPr>
                <w:sz w:val="22"/>
                <w:szCs w:val="22"/>
              </w:rPr>
              <w:t xml:space="preserve"> in Asset Cases only</w:t>
            </w:r>
            <w:r w:rsidR="00615F35" w:rsidRPr="00DC3E67">
              <w:rPr>
                <w:sz w:val="22"/>
                <w:szCs w:val="22"/>
              </w:rPr>
              <w:t>.</w:t>
            </w:r>
            <w:r w:rsidR="00C2180E" w:rsidRPr="00DC3E67">
              <w:rPr>
                <w:rStyle w:val="FootnoteReference"/>
                <w:sz w:val="22"/>
                <w:szCs w:val="22"/>
              </w:rPr>
              <w:footnoteReference w:id="1"/>
            </w:r>
          </w:p>
        </w:tc>
        <w:tc>
          <w:tcPr>
            <w:tcW w:w="3047" w:type="dxa"/>
            <w:gridSpan w:val="2"/>
          </w:tcPr>
          <w:p w:rsidR="002F05DF" w:rsidRPr="00DC3E67" w:rsidRDefault="00DD567F" w:rsidP="002F05DF">
            <w:pPr>
              <w:pStyle w:val="Header"/>
              <w:tabs>
                <w:tab w:val="clear" w:pos="4320"/>
                <w:tab w:val="clear" w:pos="8640"/>
              </w:tabs>
              <w:rPr>
                <w:sz w:val="22"/>
                <w:szCs w:val="22"/>
              </w:rPr>
            </w:pPr>
            <w:r w:rsidRPr="00DC3E67">
              <w:rPr>
                <w:sz w:val="22"/>
                <w:szCs w:val="22"/>
              </w:rPr>
              <w:t>In Asset Cases Only</w:t>
            </w:r>
            <w:r w:rsidR="00F24401" w:rsidRPr="00DC3E67">
              <w:rPr>
                <w:sz w:val="22"/>
                <w:szCs w:val="22"/>
              </w:rPr>
              <w:t>.</w:t>
            </w:r>
          </w:p>
        </w:tc>
        <w:tc>
          <w:tcPr>
            <w:tcW w:w="3163" w:type="dxa"/>
            <w:gridSpan w:val="2"/>
          </w:tcPr>
          <w:p w:rsidR="002F05DF" w:rsidRPr="00DC3E67" w:rsidRDefault="00DD567F" w:rsidP="002F05DF">
            <w:pPr>
              <w:pStyle w:val="Header"/>
              <w:tabs>
                <w:tab w:val="clear" w:pos="4320"/>
                <w:tab w:val="clear" w:pos="8640"/>
              </w:tabs>
              <w:rPr>
                <w:sz w:val="22"/>
                <w:szCs w:val="22"/>
              </w:rPr>
            </w:pPr>
            <w:r w:rsidRPr="00DC3E67">
              <w:rPr>
                <w:sz w:val="22"/>
                <w:szCs w:val="22"/>
              </w:rPr>
              <w:t>In Asset Cases only.</w:t>
            </w:r>
          </w:p>
        </w:tc>
      </w:tr>
      <w:tr w:rsidR="002F05DF" w:rsidTr="008459EF">
        <w:tc>
          <w:tcPr>
            <w:tcW w:w="3150" w:type="dxa"/>
            <w:gridSpan w:val="2"/>
          </w:tcPr>
          <w:p w:rsidR="002F05DF" w:rsidRPr="00DC3E67" w:rsidRDefault="00DD567F" w:rsidP="002F05DF">
            <w:pPr>
              <w:pStyle w:val="Header"/>
              <w:tabs>
                <w:tab w:val="clear" w:pos="4320"/>
                <w:tab w:val="clear" w:pos="8640"/>
              </w:tabs>
              <w:rPr>
                <w:sz w:val="22"/>
                <w:szCs w:val="22"/>
              </w:rPr>
            </w:pPr>
            <w:r w:rsidRPr="00DC3E67">
              <w:rPr>
                <w:b/>
                <w:sz w:val="22"/>
                <w:szCs w:val="22"/>
              </w:rPr>
              <w:t>MFR</w:t>
            </w:r>
            <w:r w:rsidRPr="00DC3E67">
              <w:rPr>
                <w:sz w:val="22"/>
                <w:szCs w:val="22"/>
              </w:rPr>
              <w:t>:  Where ins. or pending state court action.</w:t>
            </w:r>
          </w:p>
        </w:tc>
        <w:tc>
          <w:tcPr>
            <w:tcW w:w="3047" w:type="dxa"/>
            <w:gridSpan w:val="2"/>
          </w:tcPr>
          <w:p w:rsidR="002F05DF" w:rsidRPr="00DC3E67" w:rsidRDefault="00DD567F" w:rsidP="002F05DF">
            <w:pPr>
              <w:pStyle w:val="Header"/>
              <w:tabs>
                <w:tab w:val="clear" w:pos="4320"/>
                <w:tab w:val="clear" w:pos="8640"/>
              </w:tabs>
              <w:rPr>
                <w:sz w:val="22"/>
                <w:szCs w:val="22"/>
              </w:rPr>
            </w:pPr>
            <w:r w:rsidRPr="00DC3E67">
              <w:rPr>
                <w:sz w:val="22"/>
                <w:szCs w:val="22"/>
              </w:rPr>
              <w:t>Where immediate jeopardy to security</w:t>
            </w:r>
            <w:r w:rsidR="00F24401" w:rsidRPr="00DC3E67">
              <w:rPr>
                <w:sz w:val="22"/>
                <w:szCs w:val="22"/>
              </w:rPr>
              <w:t>,</w:t>
            </w:r>
            <w:r w:rsidRPr="00DC3E67">
              <w:rPr>
                <w:sz w:val="22"/>
                <w:szCs w:val="22"/>
              </w:rPr>
              <w:t xml:space="preserve"> or wait for discharge. </w:t>
            </w:r>
          </w:p>
        </w:tc>
        <w:tc>
          <w:tcPr>
            <w:tcW w:w="3163" w:type="dxa"/>
            <w:gridSpan w:val="2"/>
          </w:tcPr>
          <w:p w:rsidR="002F05DF" w:rsidRPr="00DC3E67" w:rsidRDefault="00DD567F" w:rsidP="002F05DF">
            <w:pPr>
              <w:pStyle w:val="Header"/>
              <w:tabs>
                <w:tab w:val="clear" w:pos="4320"/>
                <w:tab w:val="clear" w:pos="8640"/>
              </w:tabs>
              <w:rPr>
                <w:sz w:val="22"/>
                <w:szCs w:val="22"/>
              </w:rPr>
            </w:pPr>
            <w:r w:rsidRPr="00DC3E67">
              <w:rPr>
                <w:sz w:val="22"/>
                <w:szCs w:val="22"/>
              </w:rPr>
              <w:t xml:space="preserve">Where immediate jeopardy to security or wait for discharge </w:t>
            </w:r>
            <w:r w:rsidRPr="00DC3E67">
              <w:rPr>
                <w:b/>
                <w:sz w:val="22"/>
                <w:szCs w:val="22"/>
                <w:u w:val="single"/>
              </w:rPr>
              <w:t>and</w:t>
            </w:r>
            <w:r w:rsidRPr="00DC3E67">
              <w:rPr>
                <w:sz w:val="22"/>
                <w:szCs w:val="22"/>
              </w:rPr>
              <w:t xml:space="preserve"> Trustee </w:t>
            </w:r>
            <w:r w:rsidR="008E730E" w:rsidRPr="00DC3E67">
              <w:rPr>
                <w:sz w:val="22"/>
                <w:szCs w:val="22"/>
              </w:rPr>
              <w:t xml:space="preserve">release. </w:t>
            </w:r>
            <w:r w:rsidR="00F24401" w:rsidRPr="00DC3E67">
              <w:rPr>
                <w:rStyle w:val="FootnoteReference"/>
                <w:sz w:val="22"/>
                <w:szCs w:val="22"/>
              </w:rPr>
              <w:footnoteReference w:id="2"/>
            </w:r>
          </w:p>
        </w:tc>
      </w:tr>
      <w:tr w:rsidR="002F05DF" w:rsidTr="008459EF">
        <w:tc>
          <w:tcPr>
            <w:tcW w:w="3150" w:type="dxa"/>
            <w:gridSpan w:val="2"/>
          </w:tcPr>
          <w:p w:rsidR="002F05DF" w:rsidRPr="00DC3E67" w:rsidRDefault="00DD567F" w:rsidP="002F05DF">
            <w:pPr>
              <w:pStyle w:val="Header"/>
              <w:tabs>
                <w:tab w:val="clear" w:pos="4320"/>
                <w:tab w:val="clear" w:pos="8640"/>
              </w:tabs>
              <w:rPr>
                <w:sz w:val="22"/>
                <w:szCs w:val="22"/>
              </w:rPr>
            </w:pPr>
            <w:r w:rsidRPr="00DC3E67">
              <w:rPr>
                <w:b/>
                <w:sz w:val="22"/>
                <w:szCs w:val="22"/>
              </w:rPr>
              <w:t>Non Discharge</w:t>
            </w:r>
            <w:r w:rsidRPr="00DC3E67">
              <w:rPr>
                <w:sz w:val="22"/>
                <w:szCs w:val="22"/>
              </w:rPr>
              <w:t xml:space="preserve">: For Fraud etc. </w:t>
            </w:r>
          </w:p>
        </w:tc>
        <w:tc>
          <w:tcPr>
            <w:tcW w:w="3047" w:type="dxa"/>
            <w:gridSpan w:val="2"/>
          </w:tcPr>
          <w:p w:rsidR="002F05DF" w:rsidRPr="00DC3E67" w:rsidRDefault="00DD567F" w:rsidP="002F05DF">
            <w:pPr>
              <w:pStyle w:val="Header"/>
              <w:tabs>
                <w:tab w:val="clear" w:pos="4320"/>
                <w:tab w:val="clear" w:pos="8640"/>
              </w:tabs>
              <w:rPr>
                <w:sz w:val="22"/>
                <w:szCs w:val="22"/>
              </w:rPr>
            </w:pPr>
            <w:r w:rsidRPr="00DC3E67">
              <w:rPr>
                <w:sz w:val="22"/>
                <w:szCs w:val="22"/>
              </w:rPr>
              <w:t xml:space="preserve">For fraud, intentional </w:t>
            </w:r>
            <w:r w:rsidRPr="00DC3E67">
              <w:rPr>
                <w:sz w:val="22"/>
                <w:szCs w:val="22"/>
              </w:rPr>
              <w:lastRenderedPageBreak/>
              <w:t xml:space="preserve">destruction to collateral or hiding </w:t>
            </w:r>
            <w:r w:rsidR="00453E21" w:rsidRPr="00DC3E67">
              <w:rPr>
                <w:sz w:val="22"/>
                <w:szCs w:val="22"/>
              </w:rPr>
              <w:t>collateral.</w:t>
            </w:r>
          </w:p>
        </w:tc>
        <w:tc>
          <w:tcPr>
            <w:tcW w:w="3163" w:type="dxa"/>
            <w:gridSpan w:val="2"/>
          </w:tcPr>
          <w:p w:rsidR="002F05DF" w:rsidRPr="00DC3E67" w:rsidRDefault="00DD567F" w:rsidP="002F05DF">
            <w:pPr>
              <w:pStyle w:val="Header"/>
              <w:tabs>
                <w:tab w:val="clear" w:pos="4320"/>
                <w:tab w:val="clear" w:pos="8640"/>
              </w:tabs>
              <w:rPr>
                <w:sz w:val="22"/>
                <w:szCs w:val="22"/>
              </w:rPr>
            </w:pPr>
            <w:r w:rsidRPr="00DC3E67">
              <w:rPr>
                <w:sz w:val="22"/>
                <w:szCs w:val="22"/>
              </w:rPr>
              <w:lastRenderedPageBreak/>
              <w:t xml:space="preserve"> For fraud, intentional </w:t>
            </w:r>
            <w:r w:rsidRPr="00DC3E67">
              <w:rPr>
                <w:sz w:val="22"/>
                <w:szCs w:val="22"/>
              </w:rPr>
              <w:lastRenderedPageBreak/>
              <w:t>destruction to collateral.</w:t>
            </w:r>
          </w:p>
        </w:tc>
      </w:tr>
      <w:tr w:rsidR="00A9637B" w:rsidTr="008459EF">
        <w:trPr>
          <w:trHeight w:val="3635"/>
        </w:trPr>
        <w:tc>
          <w:tcPr>
            <w:tcW w:w="3150" w:type="dxa"/>
            <w:gridSpan w:val="2"/>
          </w:tcPr>
          <w:p w:rsidR="00A9637B" w:rsidRPr="00DC3E67" w:rsidRDefault="00A9637B" w:rsidP="002F05DF">
            <w:pPr>
              <w:pStyle w:val="Header"/>
              <w:tabs>
                <w:tab w:val="clear" w:pos="4320"/>
                <w:tab w:val="clear" w:pos="8640"/>
              </w:tabs>
              <w:rPr>
                <w:b/>
                <w:sz w:val="22"/>
                <w:szCs w:val="22"/>
              </w:rPr>
            </w:pPr>
            <w:r>
              <w:rPr>
                <w:b/>
                <w:sz w:val="22"/>
                <w:szCs w:val="22"/>
              </w:rPr>
              <w:lastRenderedPageBreak/>
              <w:t>Effect of Discharge on Mortgage Servicing Rules:</w:t>
            </w:r>
          </w:p>
        </w:tc>
        <w:tc>
          <w:tcPr>
            <w:tcW w:w="3047" w:type="dxa"/>
            <w:gridSpan w:val="2"/>
          </w:tcPr>
          <w:p w:rsidR="00A9637B" w:rsidRDefault="00A9637B" w:rsidP="00DF42A4">
            <w:pPr>
              <w:pStyle w:val="Header"/>
              <w:tabs>
                <w:tab w:val="clear" w:pos="4320"/>
                <w:tab w:val="clear" w:pos="8640"/>
              </w:tabs>
              <w:rPr>
                <w:sz w:val="22"/>
                <w:szCs w:val="22"/>
              </w:rPr>
            </w:pPr>
            <w:r>
              <w:rPr>
                <w:sz w:val="22"/>
                <w:szCs w:val="22"/>
              </w:rPr>
              <w:t>Question re what communications, if any i.e. payment statements, should be made after BK Discharge Entered in Chapter 7 or 13.</w:t>
            </w:r>
          </w:p>
          <w:p w:rsidR="00A9637B" w:rsidRDefault="00A9637B" w:rsidP="00DF42A4">
            <w:pPr>
              <w:pStyle w:val="Header"/>
              <w:tabs>
                <w:tab w:val="clear" w:pos="4320"/>
                <w:tab w:val="clear" w:pos="8640"/>
              </w:tabs>
              <w:rPr>
                <w:sz w:val="22"/>
                <w:szCs w:val="22"/>
              </w:rPr>
            </w:pPr>
          </w:p>
          <w:p w:rsidR="004C73C8" w:rsidRPr="00DC3E67" w:rsidRDefault="00A9637B" w:rsidP="00A126E4">
            <w:pPr>
              <w:pStyle w:val="Header"/>
              <w:tabs>
                <w:tab w:val="clear" w:pos="4320"/>
                <w:tab w:val="clear" w:pos="8640"/>
              </w:tabs>
              <w:rPr>
                <w:sz w:val="22"/>
                <w:szCs w:val="22"/>
              </w:rPr>
            </w:pPr>
            <w:r>
              <w:rPr>
                <w:sz w:val="22"/>
                <w:szCs w:val="22"/>
              </w:rPr>
              <w:t xml:space="preserve">  </w:t>
            </w:r>
            <w:r w:rsidR="004C73C8" w:rsidRPr="00A126E4">
              <w:rPr>
                <w:b/>
                <w:sz w:val="22"/>
                <w:szCs w:val="22"/>
              </w:rPr>
              <w:t>Note</w:t>
            </w:r>
            <w:r w:rsidR="004C73C8">
              <w:rPr>
                <w:sz w:val="22"/>
                <w:szCs w:val="22"/>
              </w:rPr>
              <w:t>: Protection afforded to</w:t>
            </w:r>
            <w:r w:rsidR="00A126E4">
              <w:rPr>
                <w:sz w:val="22"/>
                <w:szCs w:val="22"/>
              </w:rPr>
              <w:t xml:space="preserve"> post-discharge communications from lenders with</w:t>
            </w:r>
            <w:r w:rsidR="004C73C8">
              <w:rPr>
                <w:sz w:val="22"/>
                <w:szCs w:val="22"/>
              </w:rPr>
              <w:t xml:space="preserve"> liens on principal</w:t>
            </w:r>
            <w:r w:rsidR="00A126E4">
              <w:rPr>
                <w:sz w:val="22"/>
                <w:szCs w:val="22"/>
              </w:rPr>
              <w:t xml:space="preserve"> residence not applicable to auto loans</w:t>
            </w:r>
            <w:r w:rsidR="004C73C8">
              <w:rPr>
                <w:sz w:val="22"/>
                <w:szCs w:val="22"/>
              </w:rPr>
              <w:t xml:space="preserve">. </w:t>
            </w:r>
          </w:p>
        </w:tc>
        <w:tc>
          <w:tcPr>
            <w:tcW w:w="3163" w:type="dxa"/>
            <w:gridSpan w:val="2"/>
          </w:tcPr>
          <w:p w:rsidR="00A9637B" w:rsidRDefault="00A9637B" w:rsidP="00DF42A4">
            <w:pPr>
              <w:pStyle w:val="Header"/>
              <w:tabs>
                <w:tab w:val="clear" w:pos="4320"/>
                <w:tab w:val="clear" w:pos="8640"/>
              </w:tabs>
              <w:rPr>
                <w:sz w:val="22"/>
                <w:szCs w:val="22"/>
              </w:rPr>
            </w:pPr>
            <w:r>
              <w:rPr>
                <w:sz w:val="22"/>
                <w:szCs w:val="22"/>
              </w:rPr>
              <w:t>Question re what communications, if any i.e. payment statements should be made after BK Discharge Entered in Chapter 7 or 13.</w:t>
            </w:r>
          </w:p>
          <w:p w:rsidR="00A126E4" w:rsidRDefault="00A9637B" w:rsidP="00DF42A4">
            <w:pPr>
              <w:pStyle w:val="Header"/>
              <w:tabs>
                <w:tab w:val="clear" w:pos="4320"/>
                <w:tab w:val="clear" w:pos="8640"/>
              </w:tabs>
              <w:rPr>
                <w:sz w:val="22"/>
                <w:szCs w:val="22"/>
              </w:rPr>
            </w:pPr>
            <w:r>
              <w:rPr>
                <w:sz w:val="22"/>
                <w:szCs w:val="22"/>
              </w:rPr>
              <w:t xml:space="preserve">  </w:t>
            </w:r>
          </w:p>
          <w:p w:rsidR="00A9637B" w:rsidRDefault="00A9637B" w:rsidP="00DF42A4">
            <w:pPr>
              <w:pStyle w:val="Header"/>
              <w:tabs>
                <w:tab w:val="clear" w:pos="4320"/>
                <w:tab w:val="clear" w:pos="8640"/>
              </w:tabs>
              <w:rPr>
                <w:sz w:val="22"/>
                <w:szCs w:val="22"/>
              </w:rPr>
            </w:pPr>
            <w:r>
              <w:rPr>
                <w:sz w:val="22"/>
                <w:szCs w:val="22"/>
              </w:rPr>
              <w:t xml:space="preserve">   </w:t>
            </w:r>
            <w:r w:rsidRPr="00A9637B">
              <w:rPr>
                <w:b/>
                <w:sz w:val="22"/>
                <w:szCs w:val="22"/>
              </w:rPr>
              <w:t>Note</w:t>
            </w:r>
            <w:r>
              <w:rPr>
                <w:sz w:val="22"/>
                <w:szCs w:val="22"/>
              </w:rPr>
              <w:t>: 11 USC §524(j) re payment statements after discharge on residence loans</w:t>
            </w:r>
            <w:r w:rsidR="004C73C8">
              <w:rPr>
                <w:sz w:val="22"/>
                <w:szCs w:val="22"/>
              </w:rPr>
              <w:t>, provides some protection</w:t>
            </w:r>
            <w:r>
              <w:rPr>
                <w:sz w:val="22"/>
                <w:szCs w:val="22"/>
              </w:rPr>
              <w:t>.</w:t>
            </w:r>
            <w:r>
              <w:rPr>
                <w:rStyle w:val="FootnoteReference"/>
                <w:sz w:val="22"/>
                <w:szCs w:val="22"/>
              </w:rPr>
              <w:footnoteReference w:id="3"/>
            </w:r>
          </w:p>
          <w:p w:rsidR="00A9637B" w:rsidRDefault="00A9637B" w:rsidP="00DF42A4">
            <w:pPr>
              <w:pStyle w:val="Header"/>
              <w:tabs>
                <w:tab w:val="clear" w:pos="4320"/>
                <w:tab w:val="clear" w:pos="8640"/>
              </w:tabs>
              <w:rPr>
                <w:sz w:val="22"/>
                <w:szCs w:val="22"/>
              </w:rPr>
            </w:pPr>
          </w:p>
          <w:p w:rsidR="00A126E4" w:rsidRDefault="00A9637B" w:rsidP="00A126E4">
            <w:pPr>
              <w:pStyle w:val="Header"/>
              <w:tabs>
                <w:tab w:val="clear" w:pos="4320"/>
                <w:tab w:val="clear" w:pos="8640"/>
              </w:tabs>
              <w:rPr>
                <w:sz w:val="22"/>
                <w:szCs w:val="22"/>
              </w:rPr>
            </w:pPr>
            <w:r>
              <w:rPr>
                <w:sz w:val="22"/>
                <w:szCs w:val="22"/>
              </w:rPr>
              <w:t xml:space="preserve">     </w:t>
            </w:r>
            <w:r w:rsidRPr="00A9637B">
              <w:rPr>
                <w:b/>
                <w:sz w:val="22"/>
                <w:szCs w:val="22"/>
              </w:rPr>
              <w:t>Note</w:t>
            </w:r>
            <w:r>
              <w:rPr>
                <w:sz w:val="22"/>
                <w:szCs w:val="22"/>
              </w:rPr>
              <w:t>: Requirements of Dodd Frank New Mortgage Servicing Rules</w:t>
            </w:r>
            <w:r w:rsidR="00A126E4">
              <w:rPr>
                <w:sz w:val="22"/>
                <w:szCs w:val="22"/>
              </w:rPr>
              <w:t xml:space="preserve"> requiring that payment statements etc. continue.</w:t>
            </w:r>
            <w:r w:rsidR="00A126E4">
              <w:rPr>
                <w:rStyle w:val="FootnoteReference"/>
                <w:sz w:val="22"/>
                <w:szCs w:val="22"/>
              </w:rPr>
              <w:footnoteReference w:id="4"/>
            </w:r>
          </w:p>
          <w:p w:rsidR="00A9637B" w:rsidRPr="00DC3E67" w:rsidRDefault="00A9637B" w:rsidP="00DF42A4">
            <w:pPr>
              <w:pStyle w:val="Header"/>
              <w:tabs>
                <w:tab w:val="clear" w:pos="4320"/>
                <w:tab w:val="clear" w:pos="8640"/>
              </w:tabs>
              <w:rPr>
                <w:sz w:val="22"/>
                <w:szCs w:val="22"/>
              </w:rPr>
            </w:pPr>
          </w:p>
        </w:tc>
      </w:tr>
    </w:tbl>
    <w:p w:rsidR="00DD567F" w:rsidRPr="00F24401" w:rsidRDefault="007F2A42" w:rsidP="00DD567F">
      <w:pPr>
        <w:pStyle w:val="Header"/>
        <w:numPr>
          <w:ilvl w:val="0"/>
          <w:numId w:val="5"/>
        </w:numPr>
        <w:tabs>
          <w:tab w:val="clear" w:pos="4320"/>
          <w:tab w:val="clear" w:pos="8640"/>
        </w:tabs>
        <w:rPr>
          <w:szCs w:val="24"/>
        </w:rPr>
      </w:pPr>
      <w:r>
        <w:rPr>
          <w:noProof/>
          <w:szCs w:val="24"/>
        </w:rPr>
        <w:drawing>
          <wp:inline distT="0" distB="0" distL="0" distR="0">
            <wp:extent cx="746760" cy="746760"/>
            <wp:effectExtent l="0" t="0" r="0" b="0"/>
            <wp:docPr id="6" name="Picture 6" descr="C:\Documents and Settings\sscheer\Local Settings\Temporary Internet Files\Content.IE5\83J3A4H1\MC900437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scheer\Local Settings\Temporary Internet Files\Content.IE5\83J3A4H1\MC900437062[1].png"/>
                    <pic:cNvPicPr>
                      <a:picLocks noChangeAspect="1" noChangeArrowheads="1"/>
                    </pic:cNvPicPr>
                  </pic:nvPicPr>
                  <pic:blipFill>
                    <a:blip r:embed="rId11" cstate="print"/>
                    <a:srcRect/>
                    <a:stretch>
                      <a:fillRect/>
                    </a:stretch>
                  </pic:blipFill>
                  <pic:spPr bwMode="auto">
                    <a:xfrm>
                      <a:off x="0" y="0"/>
                      <a:ext cx="746760" cy="746760"/>
                    </a:xfrm>
                    <a:prstGeom prst="rect">
                      <a:avLst/>
                    </a:prstGeom>
                    <a:noFill/>
                    <a:ln w="9525">
                      <a:noFill/>
                      <a:miter lim="800000"/>
                      <a:headEnd/>
                      <a:tailEnd/>
                    </a:ln>
                  </pic:spPr>
                </pic:pic>
              </a:graphicData>
            </a:graphic>
          </wp:inline>
        </w:drawing>
      </w:r>
      <w:r w:rsidR="00DD567F">
        <w:rPr>
          <w:szCs w:val="24"/>
        </w:rPr>
        <w:t xml:space="preserve"> </w:t>
      </w:r>
      <w:r w:rsidR="00DD567F" w:rsidRPr="00F24401">
        <w:rPr>
          <w:b/>
          <w:sz w:val="28"/>
          <w:szCs w:val="28"/>
        </w:rPr>
        <w:t>Chapter 13</w:t>
      </w:r>
      <w:r w:rsidR="00DD567F" w:rsidRPr="00F24401">
        <w:rPr>
          <w:sz w:val="28"/>
          <w:szCs w:val="28"/>
        </w:rPr>
        <w:t>:</w:t>
      </w:r>
    </w:p>
    <w:p w:rsidR="00F24401" w:rsidRDefault="00F24401" w:rsidP="00F24401">
      <w:pPr>
        <w:pStyle w:val="Header"/>
        <w:tabs>
          <w:tab w:val="clear" w:pos="4320"/>
          <w:tab w:val="clear" w:pos="8640"/>
        </w:tabs>
        <w:ind w:left="1080"/>
        <w:rPr>
          <w:szCs w:val="24"/>
        </w:rPr>
      </w:pPr>
    </w:p>
    <w:p w:rsidR="00453E21" w:rsidRDefault="00453E21" w:rsidP="00453E21">
      <w:pPr>
        <w:pStyle w:val="Header"/>
        <w:numPr>
          <w:ilvl w:val="0"/>
          <w:numId w:val="10"/>
        </w:numPr>
        <w:tabs>
          <w:tab w:val="clear" w:pos="4320"/>
          <w:tab w:val="clear" w:pos="8640"/>
        </w:tabs>
        <w:rPr>
          <w:szCs w:val="24"/>
        </w:rPr>
      </w:pPr>
      <w:r>
        <w:rPr>
          <w:szCs w:val="24"/>
        </w:rPr>
        <w:t>Reorg</w:t>
      </w:r>
      <w:r w:rsidR="00C2180E">
        <w:rPr>
          <w:szCs w:val="24"/>
        </w:rPr>
        <w:t>.</w:t>
      </w:r>
      <w:r>
        <w:rPr>
          <w:szCs w:val="24"/>
        </w:rPr>
        <w:t xml:space="preserve"> or Liquidation</w:t>
      </w:r>
      <w:r w:rsidR="00A01543">
        <w:rPr>
          <w:szCs w:val="24"/>
        </w:rPr>
        <w:t>?</w:t>
      </w:r>
      <w:r>
        <w:rPr>
          <w:szCs w:val="24"/>
        </w:rPr>
        <w:t>:</w:t>
      </w:r>
      <w:r w:rsidR="00A01543">
        <w:rPr>
          <w:szCs w:val="24"/>
        </w:rPr>
        <w:t xml:space="preserve">  </w:t>
      </w:r>
      <w:r>
        <w:rPr>
          <w:szCs w:val="24"/>
        </w:rPr>
        <w:t xml:space="preserve"> “ </w:t>
      </w:r>
      <w:r w:rsidRPr="00453E21">
        <w:rPr>
          <w:i/>
          <w:szCs w:val="24"/>
        </w:rPr>
        <w:t>I’m Flying the Friendly Skies</w:t>
      </w:r>
      <w:r>
        <w:rPr>
          <w:szCs w:val="24"/>
        </w:rPr>
        <w:t>”</w:t>
      </w:r>
    </w:p>
    <w:p w:rsidR="00C2180E" w:rsidRDefault="00C2180E" w:rsidP="00453E21">
      <w:pPr>
        <w:pStyle w:val="Header"/>
        <w:numPr>
          <w:ilvl w:val="0"/>
          <w:numId w:val="10"/>
        </w:numPr>
        <w:tabs>
          <w:tab w:val="clear" w:pos="4320"/>
          <w:tab w:val="clear" w:pos="8640"/>
        </w:tabs>
        <w:rPr>
          <w:szCs w:val="24"/>
        </w:rPr>
      </w:pPr>
      <w:r>
        <w:rPr>
          <w:szCs w:val="24"/>
        </w:rPr>
        <w:t xml:space="preserve">File </w:t>
      </w:r>
      <w:r w:rsidR="00A01543">
        <w:rPr>
          <w:szCs w:val="24"/>
        </w:rPr>
        <w:t>POC:</w:t>
      </w:r>
      <w:r>
        <w:rPr>
          <w:szCs w:val="24"/>
        </w:rPr>
        <w:t xml:space="preserve"> ASAP and no later than 90 days from Meeting of Creditors.</w:t>
      </w:r>
    </w:p>
    <w:p w:rsidR="00453E21" w:rsidRDefault="00453E21" w:rsidP="00453E21">
      <w:pPr>
        <w:pStyle w:val="Header"/>
        <w:tabs>
          <w:tab w:val="clear" w:pos="4320"/>
          <w:tab w:val="clear" w:pos="8640"/>
        </w:tabs>
        <w:rPr>
          <w:szCs w:val="24"/>
        </w:rPr>
      </w:pPr>
    </w:p>
    <w:p w:rsidR="00453E21" w:rsidRPr="00C55997" w:rsidRDefault="000344D8" w:rsidP="00453E21">
      <w:pPr>
        <w:pStyle w:val="Header"/>
        <w:tabs>
          <w:tab w:val="clear" w:pos="4320"/>
          <w:tab w:val="clear" w:pos="8640"/>
        </w:tabs>
        <w:rPr>
          <w:b/>
          <w:szCs w:val="24"/>
        </w:rPr>
      </w:pPr>
      <w:r>
        <w:rPr>
          <w:b/>
          <w:szCs w:val="24"/>
        </w:rPr>
        <w:t xml:space="preserve">C.1   </w:t>
      </w:r>
      <w:r w:rsidR="00453E21" w:rsidRPr="00C55997">
        <w:rPr>
          <w:b/>
          <w:szCs w:val="24"/>
        </w:rPr>
        <w:t>Key Points to Consider re the Plan:</w:t>
      </w:r>
    </w:p>
    <w:p w:rsidR="0061118F" w:rsidRPr="00C2180E" w:rsidRDefault="0061118F" w:rsidP="0061118F">
      <w:pPr>
        <w:pStyle w:val="Header"/>
        <w:tabs>
          <w:tab w:val="clear" w:pos="4320"/>
          <w:tab w:val="clear" w:pos="8640"/>
        </w:tabs>
        <w:rPr>
          <w:b/>
          <w:szCs w:val="24"/>
        </w:rPr>
      </w:pPr>
    </w:p>
    <w:tbl>
      <w:tblPr>
        <w:tblStyle w:val="TableGrid"/>
        <w:tblW w:w="0" w:type="auto"/>
        <w:tblLook w:val="04A0" w:firstRow="1" w:lastRow="0" w:firstColumn="1" w:lastColumn="0" w:noHBand="0" w:noVBand="1"/>
      </w:tblPr>
      <w:tblGrid>
        <w:gridCol w:w="1731"/>
        <w:gridCol w:w="1731"/>
        <w:gridCol w:w="1236"/>
        <w:gridCol w:w="180"/>
        <w:gridCol w:w="2046"/>
        <w:gridCol w:w="1284"/>
        <w:gridCol w:w="2178"/>
      </w:tblGrid>
      <w:tr w:rsidR="00453E21" w:rsidRPr="00C2180E" w:rsidTr="00453E21">
        <w:tc>
          <w:tcPr>
            <w:tcW w:w="3462" w:type="dxa"/>
            <w:gridSpan w:val="2"/>
          </w:tcPr>
          <w:p w:rsidR="00453E21" w:rsidRPr="00C2180E" w:rsidRDefault="00453E21">
            <w:pPr>
              <w:rPr>
                <w:rFonts w:ascii="Times New Roman" w:hAnsi="Times New Roman"/>
                <w:b/>
              </w:rPr>
            </w:pPr>
            <w:r w:rsidRPr="00C2180E">
              <w:rPr>
                <w:rFonts w:ascii="Times New Roman" w:hAnsi="Times New Roman"/>
                <w:b/>
              </w:rPr>
              <w:t xml:space="preserve">Unsecured </w:t>
            </w:r>
          </w:p>
        </w:tc>
        <w:tc>
          <w:tcPr>
            <w:tcW w:w="3462" w:type="dxa"/>
            <w:gridSpan w:val="3"/>
          </w:tcPr>
          <w:p w:rsidR="00453E21" w:rsidRPr="00C2180E" w:rsidRDefault="00453E21">
            <w:pPr>
              <w:rPr>
                <w:rFonts w:ascii="Times New Roman" w:hAnsi="Times New Roman"/>
                <w:b/>
              </w:rPr>
            </w:pPr>
            <w:r w:rsidRPr="00C2180E">
              <w:rPr>
                <w:rFonts w:ascii="Times New Roman" w:hAnsi="Times New Roman"/>
                <w:b/>
              </w:rPr>
              <w:t xml:space="preserve">Automobile </w:t>
            </w:r>
          </w:p>
        </w:tc>
        <w:tc>
          <w:tcPr>
            <w:tcW w:w="3462" w:type="dxa"/>
            <w:gridSpan w:val="2"/>
          </w:tcPr>
          <w:p w:rsidR="00453E21" w:rsidRPr="00C2180E" w:rsidRDefault="00453E21">
            <w:pPr>
              <w:rPr>
                <w:rFonts w:ascii="Times New Roman" w:hAnsi="Times New Roman"/>
                <w:b/>
              </w:rPr>
            </w:pPr>
            <w:r w:rsidRPr="00C2180E">
              <w:rPr>
                <w:rFonts w:ascii="Times New Roman" w:hAnsi="Times New Roman"/>
                <w:b/>
              </w:rPr>
              <w:t>Real Property</w:t>
            </w:r>
          </w:p>
        </w:tc>
      </w:tr>
      <w:tr w:rsidR="00453E21" w:rsidTr="00453E21">
        <w:tc>
          <w:tcPr>
            <w:tcW w:w="3462" w:type="dxa"/>
            <w:gridSpan w:val="2"/>
          </w:tcPr>
          <w:p w:rsidR="00453E21" w:rsidRDefault="00C55997">
            <w:pPr>
              <w:rPr>
                <w:rFonts w:ascii="Times New Roman" w:hAnsi="Times New Roman"/>
              </w:rPr>
            </w:pPr>
            <w:r>
              <w:rPr>
                <w:rFonts w:ascii="Times New Roman" w:hAnsi="Times New Roman"/>
              </w:rPr>
              <w:t xml:space="preserve">Timely file </w:t>
            </w:r>
            <w:r w:rsidR="00C2180E">
              <w:rPr>
                <w:rFonts w:ascii="Times New Roman" w:hAnsi="Times New Roman"/>
              </w:rPr>
              <w:t>POC</w:t>
            </w:r>
          </w:p>
        </w:tc>
        <w:tc>
          <w:tcPr>
            <w:tcW w:w="3462" w:type="dxa"/>
            <w:gridSpan w:val="3"/>
          </w:tcPr>
          <w:p w:rsidR="00453E21" w:rsidRDefault="00C55997">
            <w:pPr>
              <w:rPr>
                <w:rFonts w:ascii="Times New Roman" w:hAnsi="Times New Roman"/>
              </w:rPr>
            </w:pPr>
            <w:r>
              <w:rPr>
                <w:rFonts w:ascii="Times New Roman" w:hAnsi="Times New Roman"/>
              </w:rPr>
              <w:t>Timely file POC</w:t>
            </w:r>
          </w:p>
        </w:tc>
        <w:tc>
          <w:tcPr>
            <w:tcW w:w="3462" w:type="dxa"/>
            <w:gridSpan w:val="2"/>
          </w:tcPr>
          <w:p w:rsidR="00453E21" w:rsidRDefault="00C55997">
            <w:pPr>
              <w:rPr>
                <w:rFonts w:ascii="Times New Roman" w:hAnsi="Times New Roman"/>
              </w:rPr>
            </w:pPr>
            <w:r>
              <w:rPr>
                <w:rFonts w:ascii="Times New Roman" w:hAnsi="Times New Roman"/>
              </w:rPr>
              <w:t>Timely file POC</w:t>
            </w:r>
          </w:p>
        </w:tc>
      </w:tr>
      <w:tr w:rsidR="00A01543" w:rsidTr="00A01543">
        <w:tc>
          <w:tcPr>
            <w:tcW w:w="3462" w:type="dxa"/>
            <w:gridSpan w:val="2"/>
          </w:tcPr>
          <w:p w:rsidR="00A01543" w:rsidRDefault="00A01543">
            <w:pPr>
              <w:rPr>
                <w:rFonts w:ascii="Times New Roman" w:hAnsi="Times New Roman"/>
              </w:rPr>
            </w:pPr>
            <w:r>
              <w:rPr>
                <w:rFonts w:ascii="Times New Roman" w:hAnsi="Times New Roman"/>
              </w:rPr>
              <w:t>Discharge Issues?</w:t>
            </w:r>
          </w:p>
          <w:p w:rsidR="000344D8" w:rsidRDefault="000344D8">
            <w:pPr>
              <w:rPr>
                <w:rFonts w:ascii="Times New Roman" w:hAnsi="Times New Roman"/>
              </w:rPr>
            </w:pPr>
          </w:p>
          <w:p w:rsidR="000344D8" w:rsidRDefault="000344D8">
            <w:pPr>
              <w:rPr>
                <w:rFonts w:ascii="Times New Roman" w:hAnsi="Times New Roman"/>
              </w:rPr>
            </w:pPr>
            <w:r w:rsidRPr="000344D8">
              <w:rPr>
                <w:rFonts w:ascii="Times New Roman" w:hAnsi="Times New Roman"/>
                <w:b/>
                <w:u w:val="single"/>
              </w:rPr>
              <w:t>Note</w:t>
            </w:r>
            <w:r>
              <w:rPr>
                <w:rFonts w:ascii="Times New Roman" w:hAnsi="Times New Roman"/>
              </w:rPr>
              <w:t>: Establishing basis for fraud claim in BK essential</w:t>
            </w:r>
            <w:r>
              <w:rPr>
                <w:rStyle w:val="FootnoteReference"/>
                <w:rFonts w:ascii="Times New Roman" w:hAnsi="Times New Roman"/>
              </w:rPr>
              <w:footnoteReference w:id="5"/>
            </w:r>
            <w:r>
              <w:rPr>
                <w:rFonts w:ascii="Times New Roman" w:hAnsi="Times New Roman"/>
              </w:rPr>
              <w:t xml:space="preserve">. </w:t>
            </w:r>
          </w:p>
        </w:tc>
        <w:tc>
          <w:tcPr>
            <w:tcW w:w="1236" w:type="dxa"/>
          </w:tcPr>
          <w:p w:rsidR="00A01543" w:rsidRDefault="00A01543">
            <w:pPr>
              <w:rPr>
                <w:rFonts w:ascii="Times New Roman" w:hAnsi="Times New Roman"/>
              </w:rPr>
            </w:pPr>
            <w:r>
              <w:rPr>
                <w:rFonts w:ascii="Times New Roman" w:hAnsi="Times New Roman"/>
              </w:rPr>
              <w:t xml:space="preserve">Plan Terms: </w:t>
            </w:r>
          </w:p>
          <w:p w:rsidR="00A01543" w:rsidRDefault="00A01543">
            <w:pPr>
              <w:rPr>
                <w:rFonts w:ascii="Times New Roman" w:hAnsi="Times New Roman"/>
              </w:rPr>
            </w:pPr>
          </w:p>
          <w:p w:rsidR="00A01543" w:rsidRDefault="00A01543">
            <w:pPr>
              <w:rPr>
                <w:rFonts w:ascii="Times New Roman" w:hAnsi="Times New Roman"/>
              </w:rPr>
            </w:pPr>
          </w:p>
          <w:p w:rsidR="00A01543" w:rsidRDefault="00A01543">
            <w:pPr>
              <w:rPr>
                <w:rFonts w:ascii="Times New Roman" w:hAnsi="Times New Roman"/>
                <w:b/>
                <w:sz w:val="28"/>
                <w:szCs w:val="28"/>
              </w:rPr>
            </w:pPr>
            <w:r w:rsidRPr="00FE2ADB">
              <w:rPr>
                <w:rFonts w:ascii="Times New Roman" w:hAnsi="Times New Roman"/>
                <w:b/>
                <w:sz w:val="28"/>
                <w:szCs w:val="28"/>
              </w:rPr>
              <w:t>Quiz</w:t>
            </w:r>
          </w:p>
          <w:p w:rsidR="00A01543" w:rsidRPr="00FE2ADB" w:rsidRDefault="00A01543" w:rsidP="00FE2ADB">
            <w:pPr>
              <w:rPr>
                <w:rFonts w:ascii="Times New Roman" w:hAnsi="Times New Roman"/>
                <w:b/>
                <w:sz w:val="28"/>
                <w:szCs w:val="28"/>
              </w:rPr>
            </w:pPr>
            <w:r>
              <w:rPr>
                <w:rFonts w:ascii="Times New Roman" w:hAnsi="Times New Roman"/>
                <w:b/>
                <w:sz w:val="28"/>
                <w:szCs w:val="28"/>
              </w:rPr>
              <w:t>Time!</w:t>
            </w:r>
            <w:r w:rsidRPr="00FE2ADB">
              <w:rPr>
                <w:rFonts w:ascii="Times New Roman" w:hAnsi="Times New Roman"/>
                <w:b/>
                <w:sz w:val="28"/>
                <w:szCs w:val="28"/>
              </w:rPr>
              <w:t xml:space="preserve">  </w:t>
            </w:r>
          </w:p>
        </w:tc>
        <w:tc>
          <w:tcPr>
            <w:tcW w:w="2226" w:type="dxa"/>
            <w:gridSpan w:val="2"/>
          </w:tcPr>
          <w:p w:rsidR="00A01543" w:rsidRDefault="00A01543" w:rsidP="00C55997">
            <w:pPr>
              <w:pStyle w:val="ListParagraph"/>
              <w:numPr>
                <w:ilvl w:val="0"/>
                <w:numId w:val="12"/>
              </w:numPr>
              <w:rPr>
                <w:rFonts w:ascii="Times New Roman" w:hAnsi="Times New Roman"/>
              </w:rPr>
            </w:pPr>
            <w:r>
              <w:rPr>
                <w:rFonts w:ascii="Times New Roman" w:hAnsi="Times New Roman"/>
              </w:rPr>
              <w:t>Claim Amt: Cram down</w:t>
            </w:r>
            <w:r>
              <w:rPr>
                <w:rStyle w:val="FootnoteReference"/>
                <w:rFonts w:ascii="Times New Roman" w:hAnsi="Times New Roman"/>
              </w:rPr>
              <w:footnoteReference w:id="6"/>
            </w:r>
            <w:r>
              <w:rPr>
                <w:rFonts w:ascii="Times New Roman" w:hAnsi="Times New Roman"/>
              </w:rPr>
              <w:t>.</w:t>
            </w:r>
          </w:p>
          <w:p w:rsidR="00A01543" w:rsidRDefault="008E730E" w:rsidP="00C55997">
            <w:pPr>
              <w:pStyle w:val="ListParagraph"/>
              <w:numPr>
                <w:ilvl w:val="0"/>
                <w:numId w:val="12"/>
              </w:numPr>
              <w:rPr>
                <w:rFonts w:ascii="Times New Roman" w:hAnsi="Times New Roman"/>
              </w:rPr>
            </w:pPr>
            <w:r>
              <w:rPr>
                <w:rFonts w:ascii="Times New Roman" w:hAnsi="Times New Roman"/>
              </w:rPr>
              <w:t>Int.</w:t>
            </w:r>
            <w:r w:rsidR="00A01543">
              <w:rPr>
                <w:rFonts w:ascii="Times New Roman" w:hAnsi="Times New Roman"/>
              </w:rPr>
              <w:t xml:space="preserve"> Rate.</w:t>
            </w:r>
          </w:p>
          <w:p w:rsidR="00A01543" w:rsidRDefault="00A01543" w:rsidP="00C55997">
            <w:pPr>
              <w:pStyle w:val="ListParagraph"/>
              <w:numPr>
                <w:ilvl w:val="0"/>
                <w:numId w:val="12"/>
              </w:numPr>
              <w:rPr>
                <w:rFonts w:ascii="Times New Roman" w:hAnsi="Times New Roman"/>
              </w:rPr>
            </w:pPr>
            <w:r>
              <w:rPr>
                <w:rFonts w:ascii="Times New Roman" w:hAnsi="Times New Roman"/>
              </w:rPr>
              <w:t>Right to Receive Imed. Pmt</w:t>
            </w:r>
            <w:r w:rsidR="00F24401">
              <w:rPr>
                <w:rStyle w:val="FootnoteReference"/>
                <w:rFonts w:ascii="Times New Roman" w:hAnsi="Times New Roman"/>
              </w:rPr>
              <w:footnoteReference w:id="7"/>
            </w:r>
            <w:r w:rsidR="000344D8">
              <w:rPr>
                <w:rStyle w:val="FootnoteReference"/>
                <w:rFonts w:ascii="Times New Roman" w:hAnsi="Times New Roman"/>
              </w:rPr>
              <w:footnoteReference w:id="8"/>
            </w:r>
            <w:r>
              <w:rPr>
                <w:rFonts w:ascii="Times New Roman" w:hAnsi="Times New Roman"/>
              </w:rPr>
              <w:t xml:space="preserve">. </w:t>
            </w:r>
          </w:p>
          <w:p w:rsidR="00A01543" w:rsidRDefault="00A01543" w:rsidP="00C55997">
            <w:pPr>
              <w:pStyle w:val="ListParagraph"/>
              <w:numPr>
                <w:ilvl w:val="0"/>
                <w:numId w:val="12"/>
              </w:numPr>
              <w:rPr>
                <w:rFonts w:ascii="Times New Roman" w:hAnsi="Times New Roman"/>
              </w:rPr>
            </w:pPr>
            <w:r>
              <w:rPr>
                <w:rFonts w:ascii="Times New Roman" w:hAnsi="Times New Roman"/>
              </w:rPr>
              <w:t>Length of Plan.</w:t>
            </w:r>
          </w:p>
          <w:p w:rsidR="00C1312D" w:rsidRPr="00C55997" w:rsidRDefault="00C1312D" w:rsidP="00C1312D">
            <w:pPr>
              <w:pStyle w:val="ListParagraph"/>
              <w:ind w:left="360"/>
              <w:rPr>
                <w:rFonts w:ascii="Times New Roman" w:hAnsi="Times New Roman"/>
              </w:rPr>
            </w:pPr>
          </w:p>
          <w:p w:rsidR="00A01543" w:rsidRDefault="00A01543">
            <w:pPr>
              <w:rPr>
                <w:rFonts w:ascii="Times New Roman" w:hAnsi="Times New Roman"/>
              </w:rPr>
            </w:pPr>
          </w:p>
          <w:p w:rsidR="00A01543" w:rsidRDefault="00A01543">
            <w:pPr>
              <w:rPr>
                <w:rFonts w:ascii="Times New Roman" w:hAnsi="Times New Roman"/>
              </w:rPr>
            </w:pPr>
          </w:p>
        </w:tc>
        <w:tc>
          <w:tcPr>
            <w:tcW w:w="1284" w:type="dxa"/>
          </w:tcPr>
          <w:p w:rsidR="00A01543" w:rsidRDefault="00A01543">
            <w:pPr>
              <w:rPr>
                <w:rFonts w:ascii="Times New Roman" w:hAnsi="Times New Roman"/>
              </w:rPr>
            </w:pPr>
            <w:r>
              <w:rPr>
                <w:rFonts w:ascii="Times New Roman" w:hAnsi="Times New Roman"/>
              </w:rPr>
              <w:lastRenderedPageBreak/>
              <w:t>Plan  Terms:</w:t>
            </w:r>
          </w:p>
        </w:tc>
        <w:tc>
          <w:tcPr>
            <w:tcW w:w="2178" w:type="dxa"/>
          </w:tcPr>
          <w:p w:rsidR="00A01543" w:rsidRDefault="00A01543" w:rsidP="00A01543">
            <w:pPr>
              <w:pStyle w:val="ListParagraph"/>
              <w:numPr>
                <w:ilvl w:val="0"/>
                <w:numId w:val="13"/>
              </w:numPr>
              <w:rPr>
                <w:rFonts w:ascii="Times New Roman" w:hAnsi="Times New Roman"/>
              </w:rPr>
            </w:pPr>
            <w:r>
              <w:rPr>
                <w:rFonts w:ascii="Times New Roman" w:hAnsi="Times New Roman"/>
              </w:rPr>
              <w:t>Claim Amount: Cram down</w:t>
            </w:r>
            <w:r>
              <w:rPr>
                <w:rStyle w:val="FootnoteReference"/>
                <w:rFonts w:ascii="Times New Roman" w:hAnsi="Times New Roman"/>
              </w:rPr>
              <w:footnoteReference w:id="9"/>
            </w:r>
            <w:r>
              <w:rPr>
                <w:rFonts w:ascii="Times New Roman" w:hAnsi="Times New Roman"/>
              </w:rPr>
              <w:t>.</w:t>
            </w:r>
          </w:p>
          <w:p w:rsidR="00A01543" w:rsidRDefault="00A01543" w:rsidP="00A01543">
            <w:pPr>
              <w:pStyle w:val="ListParagraph"/>
              <w:numPr>
                <w:ilvl w:val="0"/>
                <w:numId w:val="13"/>
              </w:numPr>
              <w:rPr>
                <w:rFonts w:ascii="Times New Roman" w:hAnsi="Times New Roman"/>
              </w:rPr>
            </w:pPr>
            <w:r>
              <w:rPr>
                <w:rFonts w:ascii="Times New Roman" w:hAnsi="Times New Roman"/>
              </w:rPr>
              <w:t>Interest on  Arrea</w:t>
            </w:r>
            <w:r w:rsidR="00F24401">
              <w:rPr>
                <w:rFonts w:ascii="Times New Roman" w:hAnsi="Times New Roman"/>
              </w:rPr>
              <w:t>ra</w:t>
            </w:r>
            <w:r>
              <w:rPr>
                <w:rFonts w:ascii="Times New Roman" w:hAnsi="Times New Roman"/>
              </w:rPr>
              <w:t>ges?</w:t>
            </w:r>
          </w:p>
          <w:p w:rsidR="00F24401" w:rsidRDefault="00F24401" w:rsidP="00A01543">
            <w:pPr>
              <w:pStyle w:val="ListParagraph"/>
              <w:numPr>
                <w:ilvl w:val="0"/>
                <w:numId w:val="13"/>
              </w:numPr>
              <w:rPr>
                <w:rFonts w:ascii="Times New Roman" w:hAnsi="Times New Roman"/>
              </w:rPr>
            </w:pPr>
            <w:r>
              <w:rPr>
                <w:rFonts w:ascii="Times New Roman" w:hAnsi="Times New Roman"/>
              </w:rPr>
              <w:t>Xten loan maturity date?</w:t>
            </w:r>
          </w:p>
          <w:p w:rsidR="00F24401" w:rsidRDefault="00F24401" w:rsidP="00A01543">
            <w:pPr>
              <w:pStyle w:val="ListParagraph"/>
              <w:numPr>
                <w:ilvl w:val="0"/>
                <w:numId w:val="13"/>
              </w:numPr>
              <w:rPr>
                <w:rFonts w:ascii="Times New Roman" w:hAnsi="Times New Roman"/>
              </w:rPr>
            </w:pPr>
            <w:r>
              <w:rPr>
                <w:rFonts w:ascii="Times New Roman" w:hAnsi="Times New Roman"/>
              </w:rPr>
              <w:lastRenderedPageBreak/>
              <w:t xml:space="preserve">Change </w:t>
            </w:r>
            <w:r w:rsidR="008E730E">
              <w:rPr>
                <w:rFonts w:ascii="Times New Roman" w:hAnsi="Times New Roman"/>
              </w:rPr>
              <w:t>int.</w:t>
            </w:r>
            <w:r>
              <w:rPr>
                <w:rFonts w:ascii="Times New Roman" w:hAnsi="Times New Roman"/>
              </w:rPr>
              <w:t xml:space="preserve"> rate.</w:t>
            </w:r>
          </w:p>
          <w:p w:rsidR="00F24401" w:rsidRPr="00A01543" w:rsidRDefault="00F24401" w:rsidP="00A01543">
            <w:pPr>
              <w:pStyle w:val="ListParagraph"/>
              <w:numPr>
                <w:ilvl w:val="0"/>
                <w:numId w:val="13"/>
              </w:numPr>
              <w:rPr>
                <w:rFonts w:ascii="Times New Roman" w:hAnsi="Times New Roman"/>
              </w:rPr>
            </w:pPr>
            <w:r>
              <w:rPr>
                <w:rFonts w:ascii="Times New Roman" w:hAnsi="Times New Roman"/>
              </w:rPr>
              <w:t>Terms re senior lienor and taxes</w:t>
            </w:r>
          </w:p>
        </w:tc>
      </w:tr>
      <w:tr w:rsidR="00C55997" w:rsidTr="00F24401">
        <w:tc>
          <w:tcPr>
            <w:tcW w:w="1731" w:type="dxa"/>
          </w:tcPr>
          <w:p w:rsidR="00C55997" w:rsidRPr="00FE597E" w:rsidRDefault="00C55997" w:rsidP="00C55997">
            <w:pPr>
              <w:rPr>
                <w:rFonts w:ascii="Times New Roman" w:hAnsi="Times New Roman"/>
                <w:b/>
              </w:rPr>
            </w:pPr>
            <w:r w:rsidRPr="00FE597E">
              <w:rPr>
                <w:rFonts w:ascii="Times New Roman" w:hAnsi="Times New Roman"/>
                <w:b/>
              </w:rPr>
              <w:lastRenderedPageBreak/>
              <w:t xml:space="preserve">Global Plan </w:t>
            </w:r>
            <w:r w:rsidRPr="00FE597E">
              <w:rPr>
                <w:rFonts w:ascii="Times New Roman" w:hAnsi="Times New Roman"/>
                <w:b/>
                <w:sz w:val="24"/>
                <w:szCs w:val="24"/>
              </w:rPr>
              <w:t>issues:</w:t>
            </w:r>
            <w:r w:rsidRPr="00FE597E">
              <w:rPr>
                <w:rFonts w:ascii="Times New Roman" w:hAnsi="Times New Roman"/>
                <w:b/>
              </w:rPr>
              <w:t xml:space="preserve">  </w:t>
            </w:r>
          </w:p>
        </w:tc>
        <w:tc>
          <w:tcPr>
            <w:tcW w:w="1731" w:type="dxa"/>
          </w:tcPr>
          <w:p w:rsidR="00C55997" w:rsidRDefault="000344D8" w:rsidP="000344D8">
            <w:pPr>
              <w:rPr>
                <w:rFonts w:ascii="Times New Roman" w:hAnsi="Times New Roman"/>
              </w:rPr>
            </w:pPr>
            <w:r>
              <w:rPr>
                <w:rFonts w:ascii="Times New Roman" w:hAnsi="Times New Roman"/>
              </w:rPr>
              <w:t>Bad Faith, r</w:t>
            </w:r>
            <w:r w:rsidR="00C55997">
              <w:rPr>
                <w:rFonts w:ascii="Times New Roman" w:hAnsi="Times New Roman"/>
              </w:rPr>
              <w:t>efile.</w:t>
            </w:r>
          </w:p>
        </w:tc>
        <w:tc>
          <w:tcPr>
            <w:tcW w:w="1416" w:type="dxa"/>
            <w:gridSpan w:val="2"/>
          </w:tcPr>
          <w:p w:rsidR="00C55997" w:rsidRPr="00E66FC4" w:rsidRDefault="00C55997">
            <w:pPr>
              <w:rPr>
                <w:rFonts w:ascii="Times New Roman" w:hAnsi="Times New Roman"/>
                <w:b/>
              </w:rPr>
            </w:pPr>
            <w:r w:rsidRPr="00E66FC4">
              <w:rPr>
                <w:rFonts w:ascii="Times New Roman" w:hAnsi="Times New Roman"/>
                <w:b/>
              </w:rPr>
              <w:t>Global Plan Issues</w:t>
            </w:r>
          </w:p>
        </w:tc>
        <w:tc>
          <w:tcPr>
            <w:tcW w:w="2046" w:type="dxa"/>
          </w:tcPr>
          <w:p w:rsidR="00FE2ADB" w:rsidRDefault="00C55997" w:rsidP="00F24401">
            <w:pPr>
              <w:rPr>
                <w:rFonts w:ascii="Times New Roman" w:hAnsi="Times New Roman"/>
              </w:rPr>
            </w:pPr>
            <w:r>
              <w:rPr>
                <w:rFonts w:ascii="Times New Roman" w:hAnsi="Times New Roman"/>
              </w:rPr>
              <w:t>Bad Faith</w:t>
            </w:r>
            <w:r w:rsidR="00C1312D">
              <w:rPr>
                <w:rFonts w:ascii="Times New Roman" w:hAnsi="Times New Roman"/>
              </w:rPr>
              <w:t xml:space="preserve"> (Note Rees </w:t>
            </w:r>
            <w:r w:rsidR="008E730E">
              <w:rPr>
                <w:rFonts w:ascii="Times New Roman" w:hAnsi="Times New Roman"/>
              </w:rPr>
              <w:t>Levering</w:t>
            </w:r>
            <w:r w:rsidR="00C1312D">
              <w:rPr>
                <w:rFonts w:ascii="Times New Roman" w:hAnsi="Times New Roman"/>
              </w:rPr>
              <w:t>)</w:t>
            </w:r>
            <w:r w:rsidR="00C1312D">
              <w:rPr>
                <w:rStyle w:val="FootnoteReference"/>
                <w:rFonts w:ascii="Times New Roman" w:hAnsi="Times New Roman"/>
              </w:rPr>
              <w:footnoteReference w:id="10"/>
            </w:r>
            <w:r w:rsidR="00F24401">
              <w:rPr>
                <w:rFonts w:ascii="Times New Roman" w:hAnsi="Times New Roman"/>
              </w:rPr>
              <w:t>,  r</w:t>
            </w:r>
            <w:r w:rsidR="00FE2ADB">
              <w:rPr>
                <w:rFonts w:ascii="Times New Roman" w:hAnsi="Times New Roman"/>
              </w:rPr>
              <w:t>e</w:t>
            </w:r>
            <w:r w:rsidR="00E66FC4">
              <w:rPr>
                <w:rFonts w:ascii="Times New Roman" w:hAnsi="Times New Roman"/>
              </w:rPr>
              <w:t>-</w:t>
            </w:r>
            <w:r w:rsidR="00FE2ADB">
              <w:rPr>
                <w:rFonts w:ascii="Times New Roman" w:hAnsi="Times New Roman"/>
              </w:rPr>
              <w:t>file</w:t>
            </w:r>
            <w:r w:rsidR="00F24401">
              <w:rPr>
                <w:rFonts w:ascii="Times New Roman" w:hAnsi="Times New Roman"/>
              </w:rPr>
              <w:t>, feasibility.</w:t>
            </w:r>
          </w:p>
        </w:tc>
        <w:tc>
          <w:tcPr>
            <w:tcW w:w="3462" w:type="dxa"/>
            <w:gridSpan w:val="2"/>
          </w:tcPr>
          <w:p w:rsidR="00C55997" w:rsidRDefault="00F24401" w:rsidP="00F24401">
            <w:pPr>
              <w:rPr>
                <w:rFonts w:ascii="Times New Roman" w:hAnsi="Times New Roman"/>
              </w:rPr>
            </w:pPr>
            <w:r>
              <w:rPr>
                <w:rFonts w:ascii="Times New Roman" w:hAnsi="Times New Roman"/>
              </w:rPr>
              <w:t xml:space="preserve">Bad Faith, refile, feasibility. </w:t>
            </w:r>
          </w:p>
        </w:tc>
      </w:tr>
    </w:tbl>
    <w:p w:rsidR="0061118F" w:rsidRDefault="0061118F">
      <w:pPr>
        <w:rPr>
          <w:rFonts w:ascii="Times New Roman" w:hAnsi="Times New Roman"/>
        </w:rPr>
      </w:pPr>
    </w:p>
    <w:p w:rsidR="00F42E71" w:rsidRPr="00EF4672" w:rsidRDefault="00F42E71" w:rsidP="00F42E71">
      <w:pPr>
        <w:spacing w:line="240" w:lineRule="auto"/>
        <w:rPr>
          <w:rFonts w:ascii="Times New Roman" w:hAnsi="Times New Roman"/>
          <w:sz w:val="24"/>
          <w:szCs w:val="24"/>
        </w:rPr>
      </w:pPr>
      <w:r>
        <w:rPr>
          <w:rFonts w:ascii="Times New Roman" w:hAnsi="Times New Roman"/>
          <w:b/>
          <w:sz w:val="24"/>
          <w:szCs w:val="24"/>
        </w:rPr>
        <w:t xml:space="preserve">C2. </w:t>
      </w:r>
      <w:r w:rsidRPr="00EF4672">
        <w:rPr>
          <w:rFonts w:ascii="Times New Roman" w:hAnsi="Times New Roman"/>
          <w:b/>
          <w:sz w:val="24"/>
          <w:szCs w:val="24"/>
        </w:rPr>
        <w:t>Proofs of Claim (Changes to BK Rules 3001(c) and 3002.1)</w:t>
      </w:r>
      <w:r w:rsidRPr="00EF4672">
        <w:rPr>
          <w:rFonts w:ascii="Times New Roman" w:hAnsi="Times New Roman"/>
          <w:sz w:val="24"/>
          <w:szCs w:val="24"/>
        </w:rPr>
        <w:t xml:space="preserve">. </w:t>
      </w:r>
    </w:p>
    <w:p w:rsidR="00F42E71" w:rsidRPr="00A750E1" w:rsidRDefault="00F42E71" w:rsidP="00F42E71">
      <w:pPr>
        <w:spacing w:line="240" w:lineRule="auto"/>
        <w:rPr>
          <w:rFonts w:ascii="Times New Roman" w:hAnsi="Times New Roman"/>
        </w:rPr>
      </w:pPr>
      <w:r>
        <w:rPr>
          <w:rFonts w:ascii="Times New Roman" w:hAnsi="Times New Roman"/>
        </w:rPr>
        <w:t>(Rules Affecting Lenders</w:t>
      </w:r>
      <w:r w:rsidR="00603B12">
        <w:rPr>
          <w:rFonts w:ascii="Times New Roman" w:hAnsi="Times New Roman"/>
        </w:rPr>
        <w:t xml:space="preserve"> changed e</w:t>
      </w:r>
      <w:r w:rsidRPr="00A750E1">
        <w:rPr>
          <w:rFonts w:ascii="Times New Roman" w:hAnsi="Times New Roman"/>
        </w:rPr>
        <w:t>ffective 12.1.11. Designed to prevent presentation of claims which have little or no substantiation and to finalize whether the claim was fully paid.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3089"/>
        <w:gridCol w:w="1657"/>
        <w:gridCol w:w="2268"/>
      </w:tblGrid>
      <w:tr w:rsidR="00F42E71" w:rsidRPr="00A750E1" w:rsidTr="008459EF">
        <w:tc>
          <w:tcPr>
            <w:tcW w:w="2364" w:type="dxa"/>
          </w:tcPr>
          <w:p w:rsidR="00F42E71" w:rsidRPr="00A750E1" w:rsidRDefault="00F42E71" w:rsidP="00F42E71">
            <w:pPr>
              <w:pStyle w:val="Header"/>
              <w:tabs>
                <w:tab w:val="clear" w:pos="4320"/>
                <w:tab w:val="clear" w:pos="8640"/>
              </w:tabs>
              <w:rPr>
                <w:b/>
                <w:sz w:val="22"/>
                <w:szCs w:val="22"/>
              </w:rPr>
            </w:pPr>
            <w:r w:rsidRPr="00A750E1">
              <w:rPr>
                <w:b/>
                <w:sz w:val="22"/>
                <w:szCs w:val="22"/>
              </w:rPr>
              <w:t>Bankruptcy Rule 3001 (c )</w:t>
            </w:r>
          </w:p>
        </w:tc>
        <w:tc>
          <w:tcPr>
            <w:tcW w:w="3089" w:type="dxa"/>
          </w:tcPr>
          <w:p w:rsidR="00F42E71" w:rsidRPr="00A750E1" w:rsidRDefault="00F42E71" w:rsidP="00F42E71">
            <w:pPr>
              <w:pStyle w:val="Header"/>
              <w:tabs>
                <w:tab w:val="clear" w:pos="4320"/>
                <w:tab w:val="clear" w:pos="8640"/>
              </w:tabs>
              <w:rPr>
                <w:b/>
                <w:sz w:val="22"/>
                <w:szCs w:val="22"/>
              </w:rPr>
            </w:pPr>
          </w:p>
        </w:tc>
        <w:tc>
          <w:tcPr>
            <w:tcW w:w="1657" w:type="dxa"/>
          </w:tcPr>
          <w:p w:rsidR="00F42E71" w:rsidRPr="00A750E1" w:rsidRDefault="00F42E71" w:rsidP="00F42E71">
            <w:pPr>
              <w:pStyle w:val="Header"/>
              <w:tabs>
                <w:tab w:val="clear" w:pos="4320"/>
                <w:tab w:val="clear" w:pos="8640"/>
              </w:tabs>
              <w:rPr>
                <w:b/>
                <w:sz w:val="22"/>
                <w:szCs w:val="22"/>
              </w:rPr>
            </w:pPr>
            <w:r w:rsidRPr="00A750E1">
              <w:rPr>
                <w:b/>
                <w:sz w:val="22"/>
                <w:szCs w:val="22"/>
              </w:rPr>
              <w:t>Bankruptcy Rule 3002.1</w:t>
            </w:r>
          </w:p>
        </w:tc>
        <w:tc>
          <w:tcPr>
            <w:tcW w:w="2268" w:type="dxa"/>
          </w:tcPr>
          <w:p w:rsidR="00F42E71" w:rsidRPr="00A750E1" w:rsidRDefault="00F42E71" w:rsidP="00F42E71">
            <w:pPr>
              <w:pStyle w:val="Header"/>
              <w:tabs>
                <w:tab w:val="clear" w:pos="4320"/>
                <w:tab w:val="clear" w:pos="8640"/>
              </w:tabs>
              <w:rPr>
                <w:b/>
                <w:sz w:val="22"/>
                <w:szCs w:val="22"/>
              </w:rPr>
            </w:pPr>
          </w:p>
        </w:tc>
      </w:tr>
      <w:tr w:rsidR="00F42E71" w:rsidRPr="00A750E1" w:rsidTr="008459EF">
        <w:tc>
          <w:tcPr>
            <w:tcW w:w="2364" w:type="dxa"/>
          </w:tcPr>
          <w:p w:rsidR="00F42E71" w:rsidRPr="00A750E1" w:rsidRDefault="00F42E71" w:rsidP="00F42E71">
            <w:pPr>
              <w:pStyle w:val="Header"/>
              <w:tabs>
                <w:tab w:val="clear" w:pos="4320"/>
                <w:tab w:val="clear" w:pos="8640"/>
              </w:tabs>
              <w:rPr>
                <w:b/>
                <w:sz w:val="22"/>
                <w:szCs w:val="22"/>
              </w:rPr>
            </w:pPr>
            <w:r w:rsidRPr="00A750E1">
              <w:rPr>
                <w:b/>
                <w:sz w:val="22"/>
                <w:szCs w:val="22"/>
              </w:rPr>
              <w:t>Issue</w:t>
            </w:r>
          </w:p>
        </w:tc>
        <w:tc>
          <w:tcPr>
            <w:tcW w:w="3089" w:type="dxa"/>
          </w:tcPr>
          <w:p w:rsidR="00F42E71" w:rsidRPr="00A750E1" w:rsidRDefault="00F42E71" w:rsidP="00F42E71">
            <w:pPr>
              <w:pStyle w:val="Header"/>
              <w:tabs>
                <w:tab w:val="clear" w:pos="4320"/>
                <w:tab w:val="clear" w:pos="8640"/>
              </w:tabs>
              <w:rPr>
                <w:b/>
                <w:sz w:val="22"/>
                <w:szCs w:val="22"/>
              </w:rPr>
            </w:pPr>
            <w:r w:rsidRPr="00A750E1">
              <w:rPr>
                <w:b/>
                <w:sz w:val="22"/>
                <w:szCs w:val="22"/>
              </w:rPr>
              <w:t>Provisions</w:t>
            </w:r>
          </w:p>
        </w:tc>
        <w:tc>
          <w:tcPr>
            <w:tcW w:w="1657" w:type="dxa"/>
          </w:tcPr>
          <w:p w:rsidR="00F42E71" w:rsidRPr="00A750E1" w:rsidRDefault="00F42E71" w:rsidP="00F42E71">
            <w:pPr>
              <w:pStyle w:val="Header"/>
              <w:tabs>
                <w:tab w:val="clear" w:pos="4320"/>
                <w:tab w:val="clear" w:pos="8640"/>
              </w:tabs>
              <w:rPr>
                <w:b/>
                <w:sz w:val="22"/>
                <w:szCs w:val="22"/>
              </w:rPr>
            </w:pPr>
            <w:r w:rsidRPr="00A750E1">
              <w:rPr>
                <w:b/>
                <w:sz w:val="22"/>
                <w:szCs w:val="22"/>
              </w:rPr>
              <w:t>Issue</w:t>
            </w:r>
          </w:p>
        </w:tc>
        <w:tc>
          <w:tcPr>
            <w:tcW w:w="2268" w:type="dxa"/>
          </w:tcPr>
          <w:p w:rsidR="00F42E71" w:rsidRPr="00A750E1" w:rsidRDefault="00F42E71" w:rsidP="00F42E71">
            <w:pPr>
              <w:pStyle w:val="Header"/>
              <w:tabs>
                <w:tab w:val="clear" w:pos="4320"/>
                <w:tab w:val="clear" w:pos="8640"/>
              </w:tabs>
              <w:rPr>
                <w:b/>
                <w:sz w:val="22"/>
                <w:szCs w:val="22"/>
              </w:rPr>
            </w:pPr>
            <w:r w:rsidRPr="00A750E1">
              <w:rPr>
                <w:b/>
                <w:sz w:val="22"/>
                <w:szCs w:val="22"/>
              </w:rPr>
              <w:t>Provisions</w:t>
            </w:r>
          </w:p>
        </w:tc>
      </w:tr>
      <w:tr w:rsidR="00F42E71" w:rsidRPr="00A750E1" w:rsidTr="008459EF">
        <w:tc>
          <w:tcPr>
            <w:tcW w:w="2364" w:type="dxa"/>
          </w:tcPr>
          <w:p w:rsidR="00F42E71" w:rsidRPr="00A750E1" w:rsidRDefault="00F42E71" w:rsidP="00F42E71">
            <w:pPr>
              <w:pStyle w:val="Header"/>
              <w:tabs>
                <w:tab w:val="clear" w:pos="4320"/>
                <w:tab w:val="clear" w:pos="8640"/>
              </w:tabs>
              <w:rPr>
                <w:b/>
                <w:sz w:val="22"/>
                <w:szCs w:val="22"/>
              </w:rPr>
            </w:pPr>
            <w:r w:rsidRPr="00A750E1">
              <w:rPr>
                <w:b/>
                <w:sz w:val="22"/>
                <w:szCs w:val="22"/>
              </w:rPr>
              <w:t>Itemized Claim:</w:t>
            </w:r>
          </w:p>
        </w:tc>
        <w:tc>
          <w:tcPr>
            <w:tcW w:w="3089" w:type="dxa"/>
          </w:tcPr>
          <w:p w:rsidR="00F42E71" w:rsidRPr="00A750E1" w:rsidRDefault="00F42E71" w:rsidP="00F42E71">
            <w:pPr>
              <w:pStyle w:val="Header"/>
              <w:tabs>
                <w:tab w:val="clear" w:pos="4320"/>
                <w:tab w:val="clear" w:pos="8640"/>
              </w:tabs>
              <w:rPr>
                <w:b/>
                <w:sz w:val="22"/>
                <w:szCs w:val="22"/>
              </w:rPr>
            </w:pPr>
            <w:r w:rsidRPr="00A750E1">
              <w:rPr>
                <w:sz w:val="22"/>
                <w:szCs w:val="22"/>
              </w:rPr>
              <w:t>There must be an itemization of the claim i.e. breakdown of charges and amount to cure the default, as of date of BK</w:t>
            </w:r>
            <w:r w:rsidRPr="00A750E1">
              <w:rPr>
                <w:b/>
                <w:sz w:val="22"/>
                <w:szCs w:val="22"/>
              </w:rPr>
              <w:t>.</w:t>
            </w:r>
          </w:p>
        </w:tc>
        <w:tc>
          <w:tcPr>
            <w:tcW w:w="1657" w:type="dxa"/>
          </w:tcPr>
          <w:p w:rsidR="00F42E71" w:rsidRPr="00A750E1" w:rsidRDefault="00F42E71" w:rsidP="00F42E71">
            <w:pPr>
              <w:pStyle w:val="Header"/>
              <w:tabs>
                <w:tab w:val="clear" w:pos="4320"/>
                <w:tab w:val="clear" w:pos="8640"/>
              </w:tabs>
              <w:rPr>
                <w:b/>
                <w:sz w:val="22"/>
                <w:szCs w:val="22"/>
              </w:rPr>
            </w:pPr>
            <w:r w:rsidRPr="00A750E1">
              <w:rPr>
                <w:b/>
                <w:sz w:val="22"/>
                <w:szCs w:val="22"/>
              </w:rPr>
              <w:t>Covers Claims on Debtor’s Residence in Chapter 13 cases.</w:t>
            </w:r>
          </w:p>
        </w:tc>
        <w:tc>
          <w:tcPr>
            <w:tcW w:w="2268" w:type="dxa"/>
          </w:tcPr>
          <w:p w:rsidR="00F42E71" w:rsidRPr="00A750E1" w:rsidRDefault="00F42E71" w:rsidP="00F42E71">
            <w:pPr>
              <w:pStyle w:val="Header"/>
              <w:tabs>
                <w:tab w:val="clear" w:pos="4320"/>
                <w:tab w:val="clear" w:pos="8640"/>
              </w:tabs>
              <w:rPr>
                <w:b/>
                <w:sz w:val="22"/>
                <w:szCs w:val="22"/>
              </w:rPr>
            </w:pPr>
          </w:p>
        </w:tc>
      </w:tr>
      <w:tr w:rsidR="00F42E71" w:rsidRPr="00A750E1" w:rsidTr="008459EF">
        <w:tc>
          <w:tcPr>
            <w:tcW w:w="2364" w:type="dxa"/>
          </w:tcPr>
          <w:p w:rsidR="00F42E71" w:rsidRDefault="00F42E71" w:rsidP="00F42E71">
            <w:pPr>
              <w:pStyle w:val="Header"/>
              <w:tabs>
                <w:tab w:val="clear" w:pos="4320"/>
                <w:tab w:val="clear" w:pos="8640"/>
              </w:tabs>
              <w:rPr>
                <w:b/>
                <w:sz w:val="22"/>
                <w:szCs w:val="22"/>
              </w:rPr>
            </w:pPr>
            <w:r w:rsidRPr="00A750E1">
              <w:rPr>
                <w:b/>
                <w:sz w:val="22"/>
                <w:szCs w:val="22"/>
              </w:rPr>
              <w:t>Use of Official Form</w:t>
            </w:r>
            <w:r>
              <w:rPr>
                <w:b/>
                <w:sz w:val="22"/>
                <w:szCs w:val="22"/>
              </w:rPr>
              <w:t xml:space="preserve">.  </w:t>
            </w:r>
          </w:p>
          <w:p w:rsidR="00F42E71" w:rsidRDefault="00F42E71" w:rsidP="00F42E71">
            <w:pPr>
              <w:pStyle w:val="Header"/>
              <w:tabs>
                <w:tab w:val="clear" w:pos="4320"/>
                <w:tab w:val="clear" w:pos="8640"/>
              </w:tabs>
              <w:rPr>
                <w:b/>
                <w:sz w:val="22"/>
                <w:szCs w:val="22"/>
              </w:rPr>
            </w:pPr>
          </w:p>
          <w:p w:rsidR="00F42E71" w:rsidRPr="00661527" w:rsidRDefault="00523D1C" w:rsidP="00F42E71">
            <w:pPr>
              <w:pStyle w:val="Header"/>
              <w:tabs>
                <w:tab w:val="clear" w:pos="4320"/>
                <w:tab w:val="clear" w:pos="8640"/>
              </w:tabs>
              <w:rPr>
                <w:b/>
                <w:color w:val="FF0000"/>
                <w:szCs w:val="24"/>
              </w:rPr>
            </w:pPr>
            <w:r>
              <w:rPr>
                <w:b/>
                <w:color w:val="FF0000"/>
                <w:szCs w:val="24"/>
              </w:rPr>
              <w:t xml:space="preserve">(relatively) </w:t>
            </w:r>
            <w:r w:rsidR="00F42E71" w:rsidRPr="00661527">
              <w:rPr>
                <w:b/>
                <w:color w:val="FF0000"/>
                <w:szCs w:val="24"/>
              </w:rPr>
              <w:t xml:space="preserve">New General Form </w:t>
            </w:r>
          </w:p>
        </w:tc>
        <w:tc>
          <w:tcPr>
            <w:tcW w:w="3089" w:type="dxa"/>
          </w:tcPr>
          <w:p w:rsidR="00F42E71" w:rsidRDefault="00F42E71" w:rsidP="00F42E71">
            <w:pPr>
              <w:pStyle w:val="Header"/>
              <w:tabs>
                <w:tab w:val="clear" w:pos="4320"/>
                <w:tab w:val="clear" w:pos="8640"/>
              </w:tabs>
              <w:rPr>
                <w:b/>
                <w:sz w:val="22"/>
                <w:szCs w:val="22"/>
              </w:rPr>
            </w:pPr>
            <w:r w:rsidRPr="00A750E1">
              <w:rPr>
                <w:b/>
                <w:sz w:val="22"/>
                <w:szCs w:val="22"/>
              </w:rPr>
              <w:t>*</w:t>
            </w:r>
            <w:r w:rsidRPr="00A750E1">
              <w:rPr>
                <w:sz w:val="22"/>
                <w:szCs w:val="22"/>
              </w:rPr>
              <w:t>If lien of creditor on residence an Official Form must be used</w:t>
            </w:r>
            <w:r w:rsidRPr="00A750E1">
              <w:rPr>
                <w:b/>
                <w:sz w:val="22"/>
                <w:szCs w:val="22"/>
              </w:rPr>
              <w:t>.</w:t>
            </w:r>
          </w:p>
          <w:p w:rsidR="00F42E71" w:rsidRDefault="00F42E71" w:rsidP="00F42E71">
            <w:pPr>
              <w:pStyle w:val="Header"/>
              <w:tabs>
                <w:tab w:val="clear" w:pos="4320"/>
                <w:tab w:val="clear" w:pos="8640"/>
              </w:tabs>
              <w:rPr>
                <w:b/>
                <w:sz w:val="22"/>
                <w:szCs w:val="22"/>
              </w:rPr>
            </w:pPr>
          </w:p>
          <w:p w:rsidR="00F42E71" w:rsidRPr="00A750E1" w:rsidRDefault="00F42E71" w:rsidP="002060B8">
            <w:pPr>
              <w:pStyle w:val="Header"/>
              <w:tabs>
                <w:tab w:val="clear" w:pos="4320"/>
                <w:tab w:val="clear" w:pos="8640"/>
              </w:tabs>
              <w:rPr>
                <w:b/>
                <w:sz w:val="22"/>
                <w:szCs w:val="22"/>
              </w:rPr>
            </w:pPr>
            <w:r w:rsidRPr="0018507A">
              <w:rPr>
                <w:b/>
                <w:color w:val="FF0000"/>
                <w:szCs w:val="24"/>
              </w:rPr>
              <w:t>New Mortgage Proof of Claim</w:t>
            </w:r>
            <w:r>
              <w:rPr>
                <w:b/>
                <w:color w:val="FF0000"/>
                <w:szCs w:val="24"/>
              </w:rPr>
              <w:t xml:space="preserve"> </w:t>
            </w:r>
            <w:r w:rsidRPr="0018507A">
              <w:rPr>
                <w:b/>
                <w:color w:val="FF0000"/>
                <w:szCs w:val="24"/>
              </w:rPr>
              <w:t>Attachment</w:t>
            </w:r>
            <w:r>
              <w:rPr>
                <w:b/>
                <w:color w:val="FF0000"/>
                <w:szCs w:val="24"/>
              </w:rPr>
              <w:t xml:space="preserve"> Form</w:t>
            </w:r>
            <w:r w:rsidR="00E145AC">
              <w:rPr>
                <w:b/>
                <w:color w:val="FF0000"/>
                <w:szCs w:val="24"/>
              </w:rPr>
              <w:t xml:space="preserve">. </w:t>
            </w:r>
          </w:p>
        </w:tc>
        <w:tc>
          <w:tcPr>
            <w:tcW w:w="1657" w:type="dxa"/>
          </w:tcPr>
          <w:p w:rsidR="00F42E71" w:rsidRDefault="00F42E71" w:rsidP="00F42E71">
            <w:pPr>
              <w:pStyle w:val="Header"/>
              <w:tabs>
                <w:tab w:val="clear" w:pos="4320"/>
                <w:tab w:val="clear" w:pos="8640"/>
              </w:tabs>
              <w:rPr>
                <w:b/>
                <w:sz w:val="22"/>
                <w:szCs w:val="22"/>
              </w:rPr>
            </w:pPr>
            <w:r w:rsidRPr="00A750E1">
              <w:rPr>
                <w:b/>
                <w:sz w:val="22"/>
                <w:szCs w:val="22"/>
              </w:rPr>
              <w:t>Notice of Pmt. Changes</w:t>
            </w:r>
          </w:p>
          <w:p w:rsidR="00F42E71" w:rsidRDefault="00F42E71" w:rsidP="00F42E71">
            <w:pPr>
              <w:pStyle w:val="Header"/>
              <w:tabs>
                <w:tab w:val="clear" w:pos="4320"/>
                <w:tab w:val="clear" w:pos="8640"/>
              </w:tabs>
              <w:rPr>
                <w:b/>
                <w:sz w:val="22"/>
                <w:szCs w:val="22"/>
              </w:rPr>
            </w:pPr>
          </w:p>
          <w:p w:rsidR="00F42E71" w:rsidRPr="0018507A" w:rsidRDefault="00F42E71" w:rsidP="00985079">
            <w:pPr>
              <w:pStyle w:val="Header"/>
              <w:tabs>
                <w:tab w:val="clear" w:pos="4320"/>
                <w:tab w:val="clear" w:pos="8640"/>
              </w:tabs>
              <w:rPr>
                <w:b/>
                <w:color w:val="FF0000"/>
                <w:szCs w:val="24"/>
              </w:rPr>
            </w:pPr>
            <w:r w:rsidRPr="0018507A">
              <w:rPr>
                <w:b/>
                <w:color w:val="FF0000"/>
                <w:szCs w:val="24"/>
              </w:rPr>
              <w:t>New Notice of Mortgage P</w:t>
            </w:r>
            <w:r>
              <w:rPr>
                <w:b/>
                <w:color w:val="FF0000"/>
                <w:szCs w:val="24"/>
              </w:rPr>
              <w:t>ayment Change</w:t>
            </w:r>
            <w:r w:rsidR="00985079">
              <w:rPr>
                <w:b/>
                <w:color w:val="FF0000"/>
                <w:szCs w:val="24"/>
              </w:rPr>
              <w:t>.</w:t>
            </w:r>
            <w:r w:rsidR="00985079">
              <w:rPr>
                <w:rStyle w:val="FootnoteReference"/>
                <w:b/>
                <w:color w:val="FF0000"/>
                <w:szCs w:val="24"/>
              </w:rPr>
              <w:footnoteReference w:id="11"/>
            </w:r>
          </w:p>
        </w:tc>
        <w:tc>
          <w:tcPr>
            <w:tcW w:w="2268" w:type="dxa"/>
          </w:tcPr>
          <w:p w:rsidR="00F42E71" w:rsidRPr="00A750E1" w:rsidRDefault="00F42E71" w:rsidP="00F42E71">
            <w:pPr>
              <w:pStyle w:val="Header"/>
              <w:tabs>
                <w:tab w:val="clear" w:pos="4320"/>
                <w:tab w:val="clear" w:pos="8640"/>
              </w:tabs>
              <w:rPr>
                <w:sz w:val="22"/>
                <w:szCs w:val="22"/>
              </w:rPr>
            </w:pPr>
            <w:r w:rsidRPr="00A750E1">
              <w:rPr>
                <w:sz w:val="22"/>
                <w:szCs w:val="22"/>
              </w:rPr>
              <w:t>Must be served on Debtor, DC and Tee, 21 days before new payment due</w:t>
            </w:r>
            <w:r w:rsidR="00AE07F2">
              <w:rPr>
                <w:sz w:val="22"/>
                <w:szCs w:val="22"/>
              </w:rPr>
              <w:t>.</w:t>
            </w:r>
            <w:r w:rsidRPr="00A750E1">
              <w:rPr>
                <w:rStyle w:val="FootnoteReference"/>
                <w:sz w:val="22"/>
                <w:szCs w:val="22"/>
              </w:rPr>
              <w:footnoteReference w:id="12"/>
            </w:r>
            <w:r w:rsidRPr="00A750E1">
              <w:rPr>
                <w:sz w:val="22"/>
                <w:szCs w:val="22"/>
              </w:rPr>
              <w:t xml:space="preserve"> </w:t>
            </w:r>
            <w:r w:rsidRPr="00A750E1">
              <w:rPr>
                <w:b/>
                <w:sz w:val="22"/>
                <w:szCs w:val="22"/>
              </w:rPr>
              <w:t>Note</w:t>
            </w:r>
            <w:r w:rsidRPr="00A750E1">
              <w:rPr>
                <w:sz w:val="22"/>
                <w:szCs w:val="22"/>
              </w:rPr>
              <w:t xml:space="preserve">: Failure to comply can stop creditor from providing the info at </w:t>
            </w:r>
            <w:r w:rsidR="00AE07F2">
              <w:rPr>
                <w:sz w:val="22"/>
                <w:szCs w:val="22"/>
              </w:rPr>
              <w:t>a later date or can be excused.</w:t>
            </w:r>
            <w:r w:rsidRPr="00A750E1">
              <w:rPr>
                <w:rStyle w:val="FootnoteReference"/>
                <w:sz w:val="22"/>
                <w:szCs w:val="22"/>
              </w:rPr>
              <w:footnoteReference w:id="13"/>
            </w:r>
          </w:p>
        </w:tc>
      </w:tr>
      <w:tr w:rsidR="00F42E71" w:rsidRPr="00A750E1" w:rsidTr="008459EF">
        <w:tc>
          <w:tcPr>
            <w:tcW w:w="2364" w:type="dxa"/>
          </w:tcPr>
          <w:p w:rsidR="00F42E71" w:rsidRPr="00A750E1" w:rsidRDefault="00F42E71" w:rsidP="00F42E71">
            <w:pPr>
              <w:pStyle w:val="Header"/>
              <w:tabs>
                <w:tab w:val="clear" w:pos="4320"/>
                <w:tab w:val="clear" w:pos="8640"/>
              </w:tabs>
              <w:rPr>
                <w:b/>
                <w:sz w:val="22"/>
                <w:szCs w:val="22"/>
              </w:rPr>
            </w:pPr>
            <w:r w:rsidRPr="00A750E1">
              <w:rPr>
                <w:b/>
                <w:sz w:val="22"/>
                <w:szCs w:val="22"/>
              </w:rPr>
              <w:t>When There is Escrow/Impound</w:t>
            </w:r>
          </w:p>
        </w:tc>
        <w:tc>
          <w:tcPr>
            <w:tcW w:w="3089" w:type="dxa"/>
          </w:tcPr>
          <w:p w:rsidR="00F42E71" w:rsidRDefault="00F42E71" w:rsidP="00F42E71">
            <w:pPr>
              <w:pStyle w:val="Header"/>
              <w:tabs>
                <w:tab w:val="clear" w:pos="4320"/>
                <w:tab w:val="clear" w:pos="8640"/>
              </w:tabs>
              <w:rPr>
                <w:sz w:val="22"/>
                <w:szCs w:val="22"/>
              </w:rPr>
            </w:pPr>
            <w:r w:rsidRPr="00A750E1">
              <w:rPr>
                <w:sz w:val="22"/>
                <w:szCs w:val="22"/>
              </w:rPr>
              <w:t>If there is an escrow/impound, an escrow account statement must be provided</w:t>
            </w:r>
            <w:r w:rsidRPr="00A750E1">
              <w:rPr>
                <w:b/>
                <w:sz w:val="22"/>
                <w:szCs w:val="22"/>
              </w:rPr>
              <w:t>.</w:t>
            </w:r>
            <w:r w:rsidRPr="00A750E1">
              <w:rPr>
                <w:rStyle w:val="FootnoteReference"/>
                <w:sz w:val="22"/>
                <w:szCs w:val="22"/>
              </w:rPr>
              <w:t xml:space="preserve"> </w:t>
            </w:r>
            <w:r w:rsidRPr="00A750E1">
              <w:rPr>
                <w:rStyle w:val="FootnoteReference"/>
                <w:sz w:val="22"/>
                <w:szCs w:val="22"/>
              </w:rPr>
              <w:footnoteReference w:id="14"/>
            </w:r>
          </w:p>
          <w:p w:rsidR="00603B12" w:rsidRPr="00A750E1" w:rsidRDefault="00603B12" w:rsidP="00F42E71">
            <w:pPr>
              <w:pStyle w:val="Header"/>
              <w:tabs>
                <w:tab w:val="clear" w:pos="4320"/>
                <w:tab w:val="clear" w:pos="8640"/>
              </w:tabs>
              <w:rPr>
                <w:b/>
                <w:sz w:val="22"/>
                <w:szCs w:val="22"/>
              </w:rPr>
            </w:pPr>
            <w:r>
              <w:rPr>
                <w:sz w:val="22"/>
                <w:szCs w:val="22"/>
              </w:rPr>
              <w:t xml:space="preserve">   </w:t>
            </w:r>
            <w:r w:rsidRPr="00603B12">
              <w:rPr>
                <w:b/>
                <w:sz w:val="22"/>
                <w:szCs w:val="22"/>
              </w:rPr>
              <w:t>Note:</w:t>
            </w:r>
            <w:r>
              <w:rPr>
                <w:sz w:val="22"/>
                <w:szCs w:val="22"/>
              </w:rPr>
              <w:t xml:space="preserve"> New Mortgage Servicing Rules effective 1.10.14, covering Escrow/Impound Account requirements ( See 12 CFR 1024.37)</w:t>
            </w:r>
          </w:p>
        </w:tc>
        <w:tc>
          <w:tcPr>
            <w:tcW w:w="1657" w:type="dxa"/>
          </w:tcPr>
          <w:p w:rsidR="00F42E71" w:rsidRDefault="00F42E71" w:rsidP="00F42E71">
            <w:pPr>
              <w:pStyle w:val="Header"/>
              <w:tabs>
                <w:tab w:val="clear" w:pos="4320"/>
                <w:tab w:val="clear" w:pos="8640"/>
              </w:tabs>
              <w:rPr>
                <w:b/>
                <w:sz w:val="22"/>
                <w:szCs w:val="22"/>
              </w:rPr>
            </w:pPr>
            <w:r w:rsidRPr="00A750E1">
              <w:rPr>
                <w:b/>
                <w:sz w:val="22"/>
                <w:szCs w:val="22"/>
              </w:rPr>
              <w:t>Post BK Charges:</w:t>
            </w:r>
          </w:p>
          <w:p w:rsidR="00F42E71" w:rsidRDefault="00F42E71" w:rsidP="00F42E71">
            <w:pPr>
              <w:pStyle w:val="Header"/>
              <w:tabs>
                <w:tab w:val="clear" w:pos="4320"/>
                <w:tab w:val="clear" w:pos="8640"/>
              </w:tabs>
              <w:rPr>
                <w:b/>
                <w:sz w:val="22"/>
                <w:szCs w:val="22"/>
              </w:rPr>
            </w:pPr>
            <w:r>
              <w:rPr>
                <w:b/>
                <w:sz w:val="22"/>
                <w:szCs w:val="22"/>
              </w:rPr>
              <w:t xml:space="preserve"> </w:t>
            </w:r>
          </w:p>
          <w:p w:rsidR="00F42E71" w:rsidRPr="0018507A" w:rsidRDefault="00F42E71" w:rsidP="00F42E71">
            <w:pPr>
              <w:pStyle w:val="Header"/>
              <w:tabs>
                <w:tab w:val="clear" w:pos="4320"/>
                <w:tab w:val="clear" w:pos="8640"/>
              </w:tabs>
              <w:rPr>
                <w:b/>
                <w:color w:val="FF0000"/>
                <w:szCs w:val="24"/>
              </w:rPr>
            </w:pPr>
            <w:r w:rsidRPr="0018507A">
              <w:rPr>
                <w:b/>
                <w:color w:val="FF0000"/>
                <w:szCs w:val="24"/>
              </w:rPr>
              <w:t>New Notice of Post-Pet Charges Form</w:t>
            </w:r>
          </w:p>
          <w:p w:rsidR="00F42E71" w:rsidRPr="00A750E1" w:rsidRDefault="00F42E71" w:rsidP="00F42E71">
            <w:pPr>
              <w:pStyle w:val="Header"/>
              <w:tabs>
                <w:tab w:val="clear" w:pos="4320"/>
                <w:tab w:val="clear" w:pos="8640"/>
              </w:tabs>
              <w:rPr>
                <w:b/>
                <w:sz w:val="22"/>
                <w:szCs w:val="22"/>
              </w:rPr>
            </w:pPr>
          </w:p>
        </w:tc>
        <w:tc>
          <w:tcPr>
            <w:tcW w:w="2268" w:type="dxa"/>
          </w:tcPr>
          <w:p w:rsidR="00F42E71" w:rsidRPr="00A750E1" w:rsidRDefault="00F42E71" w:rsidP="00F42E71">
            <w:pPr>
              <w:pStyle w:val="Header"/>
              <w:tabs>
                <w:tab w:val="clear" w:pos="4320"/>
                <w:tab w:val="clear" w:pos="8640"/>
              </w:tabs>
              <w:rPr>
                <w:sz w:val="22"/>
                <w:szCs w:val="22"/>
              </w:rPr>
            </w:pPr>
            <w:r w:rsidRPr="00A750E1">
              <w:rPr>
                <w:sz w:val="22"/>
                <w:szCs w:val="22"/>
              </w:rPr>
              <w:t>Must file a notice if you seek any post-bk fees, expenses or charges, within 180 days.</w:t>
            </w:r>
            <w:r w:rsidRPr="00A750E1">
              <w:rPr>
                <w:rStyle w:val="FootnoteReference"/>
                <w:sz w:val="22"/>
                <w:szCs w:val="22"/>
              </w:rPr>
              <w:footnoteReference w:id="15"/>
            </w:r>
            <w:r w:rsidRPr="00A750E1">
              <w:rPr>
                <w:sz w:val="22"/>
                <w:szCs w:val="22"/>
              </w:rPr>
              <w:t xml:space="preserve">  The Debtor or trustee can object within 1 year.</w:t>
            </w:r>
          </w:p>
        </w:tc>
      </w:tr>
      <w:tr w:rsidR="00F42E71" w:rsidRPr="00A750E1" w:rsidTr="008459EF">
        <w:tc>
          <w:tcPr>
            <w:tcW w:w="2364" w:type="dxa"/>
          </w:tcPr>
          <w:p w:rsidR="00F42E71" w:rsidRPr="00A750E1" w:rsidRDefault="00F42E71" w:rsidP="00F42E71">
            <w:pPr>
              <w:pStyle w:val="Header"/>
              <w:tabs>
                <w:tab w:val="clear" w:pos="4320"/>
                <w:tab w:val="clear" w:pos="8640"/>
              </w:tabs>
              <w:rPr>
                <w:b/>
                <w:sz w:val="22"/>
                <w:szCs w:val="22"/>
              </w:rPr>
            </w:pPr>
            <w:r w:rsidRPr="00A750E1">
              <w:rPr>
                <w:b/>
                <w:sz w:val="22"/>
                <w:szCs w:val="22"/>
              </w:rPr>
              <w:t>Annual Interest Rate</w:t>
            </w:r>
          </w:p>
        </w:tc>
        <w:tc>
          <w:tcPr>
            <w:tcW w:w="3089" w:type="dxa"/>
          </w:tcPr>
          <w:p w:rsidR="00F42E71" w:rsidRPr="00A750E1" w:rsidRDefault="00F42E71" w:rsidP="00F42E71">
            <w:pPr>
              <w:pStyle w:val="Header"/>
              <w:tabs>
                <w:tab w:val="clear" w:pos="4320"/>
                <w:tab w:val="clear" w:pos="8640"/>
              </w:tabs>
              <w:rPr>
                <w:b/>
                <w:sz w:val="22"/>
                <w:szCs w:val="22"/>
              </w:rPr>
            </w:pPr>
            <w:r w:rsidRPr="00A750E1">
              <w:rPr>
                <w:sz w:val="22"/>
                <w:szCs w:val="22"/>
              </w:rPr>
              <w:t xml:space="preserve">Creditor must disclose the annual interest rate in effect </w:t>
            </w:r>
            <w:r w:rsidRPr="00A750E1">
              <w:rPr>
                <w:sz w:val="22"/>
                <w:szCs w:val="22"/>
              </w:rPr>
              <w:lastRenderedPageBreak/>
              <w:t xml:space="preserve">when the BK is filed. </w:t>
            </w:r>
            <w:r w:rsidRPr="00A750E1">
              <w:rPr>
                <w:b/>
                <w:sz w:val="22"/>
                <w:szCs w:val="22"/>
              </w:rPr>
              <w:t>Note</w:t>
            </w:r>
            <w:r w:rsidRPr="00A750E1">
              <w:rPr>
                <w:sz w:val="22"/>
                <w:szCs w:val="22"/>
              </w:rPr>
              <w:t>: Variable rate loans will have to specify correct rate</w:t>
            </w:r>
          </w:p>
        </w:tc>
        <w:tc>
          <w:tcPr>
            <w:tcW w:w="1657" w:type="dxa"/>
          </w:tcPr>
          <w:p w:rsidR="00F42E71" w:rsidRPr="00A750E1" w:rsidRDefault="00F42E71" w:rsidP="00F42E71">
            <w:pPr>
              <w:pStyle w:val="Header"/>
              <w:tabs>
                <w:tab w:val="clear" w:pos="4320"/>
                <w:tab w:val="clear" w:pos="8640"/>
              </w:tabs>
              <w:rPr>
                <w:b/>
                <w:sz w:val="22"/>
                <w:szCs w:val="22"/>
              </w:rPr>
            </w:pPr>
            <w:r w:rsidRPr="00A750E1">
              <w:rPr>
                <w:b/>
                <w:sz w:val="22"/>
                <w:szCs w:val="22"/>
              </w:rPr>
              <w:lastRenderedPageBreak/>
              <w:t>Notice of Final Cure Pmt</w:t>
            </w:r>
            <w:r w:rsidR="004C73C8">
              <w:rPr>
                <w:b/>
                <w:sz w:val="22"/>
                <w:szCs w:val="22"/>
              </w:rPr>
              <w:t>.</w:t>
            </w:r>
            <w:r w:rsidRPr="00A750E1">
              <w:rPr>
                <w:b/>
                <w:sz w:val="22"/>
                <w:szCs w:val="22"/>
              </w:rPr>
              <w:t xml:space="preserve"> </w:t>
            </w:r>
            <w:r w:rsidRPr="00A750E1">
              <w:rPr>
                <w:b/>
                <w:sz w:val="22"/>
                <w:szCs w:val="22"/>
              </w:rPr>
              <w:lastRenderedPageBreak/>
              <w:t>(Rule 3002.1 (f).</w:t>
            </w:r>
          </w:p>
        </w:tc>
        <w:tc>
          <w:tcPr>
            <w:tcW w:w="2268" w:type="dxa"/>
          </w:tcPr>
          <w:p w:rsidR="00F42E71" w:rsidRDefault="00F42E71" w:rsidP="00F42E71">
            <w:pPr>
              <w:pStyle w:val="Header"/>
              <w:tabs>
                <w:tab w:val="clear" w:pos="4320"/>
                <w:tab w:val="clear" w:pos="8640"/>
              </w:tabs>
              <w:rPr>
                <w:sz w:val="22"/>
                <w:szCs w:val="22"/>
              </w:rPr>
            </w:pPr>
            <w:r w:rsidRPr="00A750E1">
              <w:rPr>
                <w:sz w:val="22"/>
                <w:szCs w:val="22"/>
              </w:rPr>
              <w:lastRenderedPageBreak/>
              <w:t xml:space="preserve">Within 30 days of final payment of claim, </w:t>
            </w:r>
            <w:r w:rsidRPr="00A750E1">
              <w:rPr>
                <w:sz w:val="22"/>
                <w:szCs w:val="22"/>
              </w:rPr>
              <w:lastRenderedPageBreak/>
              <w:t>Trustee must provide notice to creditors who must “scream or die”</w:t>
            </w:r>
            <w:r w:rsidR="00AE07F2">
              <w:rPr>
                <w:sz w:val="22"/>
                <w:szCs w:val="22"/>
              </w:rPr>
              <w:t>.</w:t>
            </w:r>
            <w:r w:rsidRPr="00A750E1">
              <w:rPr>
                <w:sz w:val="22"/>
                <w:szCs w:val="22"/>
              </w:rPr>
              <w:t xml:space="preserve"> </w:t>
            </w:r>
          </w:p>
          <w:p w:rsidR="00AE07F2" w:rsidRPr="00A750E1" w:rsidRDefault="00AE07F2" w:rsidP="00F42E71">
            <w:pPr>
              <w:pStyle w:val="Header"/>
              <w:tabs>
                <w:tab w:val="clear" w:pos="4320"/>
                <w:tab w:val="clear" w:pos="8640"/>
              </w:tabs>
              <w:rPr>
                <w:sz w:val="22"/>
                <w:szCs w:val="22"/>
              </w:rPr>
            </w:pPr>
          </w:p>
        </w:tc>
      </w:tr>
      <w:tr w:rsidR="00F42E71" w:rsidRPr="00A750E1" w:rsidTr="008459EF">
        <w:tc>
          <w:tcPr>
            <w:tcW w:w="2364" w:type="dxa"/>
          </w:tcPr>
          <w:p w:rsidR="00F42E71" w:rsidRDefault="00F42E71" w:rsidP="00F42E71">
            <w:pPr>
              <w:pStyle w:val="Header"/>
              <w:tabs>
                <w:tab w:val="clear" w:pos="4320"/>
                <w:tab w:val="clear" w:pos="8640"/>
              </w:tabs>
              <w:rPr>
                <w:b/>
                <w:sz w:val="22"/>
                <w:szCs w:val="22"/>
              </w:rPr>
            </w:pPr>
          </w:p>
          <w:p w:rsidR="00F42E71" w:rsidRPr="00A750E1" w:rsidRDefault="00F42E71" w:rsidP="00F42E71">
            <w:pPr>
              <w:pStyle w:val="Header"/>
              <w:tabs>
                <w:tab w:val="clear" w:pos="4320"/>
                <w:tab w:val="clear" w:pos="8640"/>
              </w:tabs>
              <w:rPr>
                <w:b/>
                <w:sz w:val="22"/>
                <w:szCs w:val="22"/>
              </w:rPr>
            </w:pPr>
            <w:r w:rsidRPr="00A750E1">
              <w:rPr>
                <w:b/>
                <w:sz w:val="22"/>
                <w:szCs w:val="22"/>
              </w:rPr>
              <w:t>Certification of Accuracy</w:t>
            </w:r>
          </w:p>
        </w:tc>
        <w:tc>
          <w:tcPr>
            <w:tcW w:w="3089" w:type="dxa"/>
          </w:tcPr>
          <w:p w:rsidR="00F42E71" w:rsidRPr="00A750E1" w:rsidRDefault="00F42E71" w:rsidP="00F42E71">
            <w:pPr>
              <w:pStyle w:val="Header"/>
              <w:tabs>
                <w:tab w:val="clear" w:pos="4320"/>
                <w:tab w:val="clear" w:pos="8640"/>
              </w:tabs>
              <w:rPr>
                <w:b/>
                <w:sz w:val="22"/>
                <w:szCs w:val="22"/>
              </w:rPr>
            </w:pPr>
            <w:r w:rsidRPr="00A750E1">
              <w:rPr>
                <w:sz w:val="22"/>
                <w:szCs w:val="22"/>
              </w:rPr>
              <w:t xml:space="preserve">New POC form now includes a certification in the signature box that the information contained in the claim meets the requirements of BK Rule 9011(b). </w:t>
            </w:r>
            <w:r w:rsidRPr="00A750E1">
              <w:rPr>
                <w:b/>
                <w:sz w:val="22"/>
                <w:szCs w:val="22"/>
              </w:rPr>
              <w:t>Note</w:t>
            </w:r>
            <w:r w:rsidRPr="00A750E1">
              <w:rPr>
                <w:sz w:val="22"/>
                <w:szCs w:val="22"/>
              </w:rPr>
              <w:t>: This may limit or restrict attorneys from signing.</w:t>
            </w:r>
          </w:p>
        </w:tc>
        <w:tc>
          <w:tcPr>
            <w:tcW w:w="1657" w:type="dxa"/>
          </w:tcPr>
          <w:p w:rsidR="00F42E71" w:rsidRPr="00A750E1" w:rsidRDefault="00F42E71" w:rsidP="00F42E71">
            <w:pPr>
              <w:pStyle w:val="Header"/>
              <w:tabs>
                <w:tab w:val="clear" w:pos="4320"/>
                <w:tab w:val="clear" w:pos="8640"/>
              </w:tabs>
              <w:rPr>
                <w:b/>
                <w:sz w:val="22"/>
                <w:szCs w:val="22"/>
              </w:rPr>
            </w:pPr>
            <w:r w:rsidRPr="00A750E1">
              <w:rPr>
                <w:b/>
                <w:sz w:val="22"/>
                <w:szCs w:val="22"/>
              </w:rPr>
              <w:t>Response to Final Cure Payment (Rule 3002.1 (g).</w:t>
            </w:r>
          </w:p>
        </w:tc>
        <w:tc>
          <w:tcPr>
            <w:tcW w:w="2268" w:type="dxa"/>
          </w:tcPr>
          <w:p w:rsidR="00F42E71" w:rsidRPr="00A750E1" w:rsidRDefault="00F42E71" w:rsidP="00F42E71">
            <w:pPr>
              <w:pStyle w:val="Header"/>
              <w:tabs>
                <w:tab w:val="clear" w:pos="4320"/>
                <w:tab w:val="clear" w:pos="8640"/>
              </w:tabs>
              <w:rPr>
                <w:sz w:val="22"/>
                <w:szCs w:val="22"/>
              </w:rPr>
            </w:pPr>
            <w:r w:rsidRPr="00A750E1">
              <w:rPr>
                <w:sz w:val="22"/>
                <w:szCs w:val="22"/>
              </w:rPr>
              <w:t>Within 21 days of notice under subsection (f), the creditor must file a statement contesting or confirming the cure.</w:t>
            </w:r>
          </w:p>
        </w:tc>
      </w:tr>
      <w:tr w:rsidR="00F42E71" w:rsidRPr="00A750E1" w:rsidTr="008459EF">
        <w:tc>
          <w:tcPr>
            <w:tcW w:w="2364" w:type="dxa"/>
          </w:tcPr>
          <w:p w:rsidR="00F42E71" w:rsidRDefault="00F42E71" w:rsidP="00F42E71">
            <w:pPr>
              <w:pStyle w:val="Header"/>
              <w:tabs>
                <w:tab w:val="clear" w:pos="4320"/>
                <w:tab w:val="clear" w:pos="8640"/>
              </w:tabs>
              <w:rPr>
                <w:b/>
                <w:sz w:val="22"/>
                <w:szCs w:val="22"/>
              </w:rPr>
            </w:pPr>
            <w:r w:rsidRPr="00A750E1">
              <w:rPr>
                <w:b/>
                <w:sz w:val="22"/>
                <w:szCs w:val="22"/>
              </w:rPr>
              <w:t>Penalties</w:t>
            </w: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Default="004C73C8" w:rsidP="00F42E71">
            <w:pPr>
              <w:pStyle w:val="Header"/>
              <w:tabs>
                <w:tab w:val="clear" w:pos="4320"/>
                <w:tab w:val="clear" w:pos="8640"/>
              </w:tabs>
              <w:rPr>
                <w:b/>
                <w:sz w:val="22"/>
                <w:szCs w:val="22"/>
              </w:rPr>
            </w:pPr>
          </w:p>
          <w:p w:rsidR="004C73C8" w:rsidRPr="00A750E1" w:rsidRDefault="004C73C8" w:rsidP="00F42E71">
            <w:pPr>
              <w:pStyle w:val="Header"/>
              <w:tabs>
                <w:tab w:val="clear" w:pos="4320"/>
                <w:tab w:val="clear" w:pos="8640"/>
              </w:tabs>
              <w:rPr>
                <w:b/>
                <w:sz w:val="22"/>
                <w:szCs w:val="22"/>
              </w:rPr>
            </w:pPr>
          </w:p>
        </w:tc>
        <w:tc>
          <w:tcPr>
            <w:tcW w:w="3089" w:type="dxa"/>
          </w:tcPr>
          <w:p w:rsidR="00F42E71" w:rsidRPr="00A750E1" w:rsidRDefault="00F42E71" w:rsidP="00F42E71">
            <w:pPr>
              <w:pStyle w:val="Header"/>
              <w:tabs>
                <w:tab w:val="clear" w:pos="4320"/>
                <w:tab w:val="clear" w:pos="8640"/>
              </w:tabs>
              <w:rPr>
                <w:sz w:val="22"/>
                <w:szCs w:val="22"/>
              </w:rPr>
            </w:pPr>
            <w:r w:rsidRPr="00A750E1">
              <w:rPr>
                <w:sz w:val="22"/>
                <w:szCs w:val="22"/>
              </w:rPr>
              <w:t>Do not include disallowance of the claim, but if there is a subsequent  hearing re the claim i.e. claim objection (11 USC§ 502(b), plan confirmation etc. a court can deny the creditor the right to present evidence of the missing information unless the creditor can show justification of that the omission was harmless. The court also has discretion to impose different sanctions</w:t>
            </w:r>
          </w:p>
        </w:tc>
        <w:tc>
          <w:tcPr>
            <w:tcW w:w="1657" w:type="dxa"/>
          </w:tcPr>
          <w:p w:rsidR="00F42E71" w:rsidRPr="00A750E1" w:rsidRDefault="00F42E71" w:rsidP="00F42E71">
            <w:pPr>
              <w:pStyle w:val="Header"/>
              <w:tabs>
                <w:tab w:val="clear" w:pos="4320"/>
                <w:tab w:val="clear" w:pos="8640"/>
              </w:tabs>
              <w:rPr>
                <w:b/>
                <w:sz w:val="22"/>
                <w:szCs w:val="22"/>
              </w:rPr>
            </w:pPr>
            <w:r w:rsidRPr="00A750E1">
              <w:rPr>
                <w:b/>
                <w:sz w:val="22"/>
                <w:szCs w:val="22"/>
              </w:rPr>
              <w:t>Hearing on Dispute of Cure of Claim (Rule 3002.1 (h).</w:t>
            </w:r>
          </w:p>
        </w:tc>
        <w:tc>
          <w:tcPr>
            <w:tcW w:w="2268" w:type="dxa"/>
          </w:tcPr>
          <w:p w:rsidR="00F42E71" w:rsidRPr="00A750E1" w:rsidRDefault="00F42E71" w:rsidP="00F42E71">
            <w:pPr>
              <w:pStyle w:val="Header"/>
              <w:tabs>
                <w:tab w:val="clear" w:pos="4320"/>
                <w:tab w:val="clear" w:pos="8640"/>
              </w:tabs>
              <w:rPr>
                <w:b/>
                <w:sz w:val="22"/>
                <w:szCs w:val="22"/>
              </w:rPr>
            </w:pPr>
          </w:p>
        </w:tc>
      </w:tr>
      <w:tr w:rsidR="004C73C8" w:rsidRPr="00A750E1" w:rsidTr="008459EF">
        <w:trPr>
          <w:trHeight w:val="1331"/>
        </w:trPr>
        <w:tc>
          <w:tcPr>
            <w:tcW w:w="2364" w:type="dxa"/>
          </w:tcPr>
          <w:p w:rsidR="004C73C8" w:rsidRPr="00A750E1" w:rsidRDefault="004C73C8" w:rsidP="00F42E71">
            <w:pPr>
              <w:pStyle w:val="Header"/>
              <w:tabs>
                <w:tab w:val="clear" w:pos="4320"/>
                <w:tab w:val="clear" w:pos="8640"/>
              </w:tabs>
              <w:rPr>
                <w:b/>
                <w:sz w:val="22"/>
                <w:szCs w:val="22"/>
              </w:rPr>
            </w:pPr>
            <w:r>
              <w:rPr>
                <w:b/>
                <w:sz w:val="22"/>
                <w:szCs w:val="22"/>
              </w:rPr>
              <w:t>Privacy Concerns on POC</w:t>
            </w:r>
          </w:p>
        </w:tc>
        <w:tc>
          <w:tcPr>
            <w:tcW w:w="3089" w:type="dxa"/>
          </w:tcPr>
          <w:p w:rsidR="004C73C8" w:rsidRPr="00A750E1" w:rsidRDefault="004C73C8" w:rsidP="00F42E71">
            <w:pPr>
              <w:pStyle w:val="Header"/>
              <w:tabs>
                <w:tab w:val="clear" w:pos="4320"/>
                <w:tab w:val="clear" w:pos="8640"/>
              </w:tabs>
              <w:rPr>
                <w:sz w:val="22"/>
                <w:szCs w:val="22"/>
              </w:rPr>
            </w:pPr>
            <w:r>
              <w:rPr>
                <w:sz w:val="22"/>
                <w:szCs w:val="22"/>
              </w:rPr>
              <w:t>Debtor’s counsel have been filing lawsuit for privacy rights violations, where confidential consumer information is provided in the POC. Must redact.</w:t>
            </w:r>
          </w:p>
        </w:tc>
        <w:tc>
          <w:tcPr>
            <w:tcW w:w="1657" w:type="dxa"/>
          </w:tcPr>
          <w:p w:rsidR="004C73C8" w:rsidRPr="00A750E1" w:rsidRDefault="004C73C8" w:rsidP="00F42E71">
            <w:pPr>
              <w:pStyle w:val="Header"/>
              <w:tabs>
                <w:tab w:val="clear" w:pos="4320"/>
                <w:tab w:val="clear" w:pos="8640"/>
              </w:tabs>
              <w:rPr>
                <w:b/>
                <w:sz w:val="22"/>
                <w:szCs w:val="22"/>
              </w:rPr>
            </w:pPr>
          </w:p>
        </w:tc>
        <w:tc>
          <w:tcPr>
            <w:tcW w:w="2268" w:type="dxa"/>
          </w:tcPr>
          <w:p w:rsidR="004C73C8" w:rsidRPr="00A750E1" w:rsidRDefault="004C73C8" w:rsidP="00F42E71">
            <w:pPr>
              <w:pStyle w:val="Header"/>
              <w:tabs>
                <w:tab w:val="clear" w:pos="4320"/>
                <w:tab w:val="clear" w:pos="8640"/>
              </w:tabs>
              <w:rPr>
                <w:b/>
                <w:sz w:val="22"/>
                <w:szCs w:val="22"/>
              </w:rPr>
            </w:pPr>
          </w:p>
        </w:tc>
      </w:tr>
    </w:tbl>
    <w:p w:rsidR="008459EF" w:rsidRDefault="008459EF">
      <w:pPr>
        <w:rPr>
          <w:rFonts w:ascii="Times New Roman" w:hAnsi="Times New Roman"/>
          <w:b/>
          <w:sz w:val="24"/>
          <w:szCs w:val="24"/>
        </w:rPr>
      </w:pPr>
    </w:p>
    <w:p w:rsidR="008459EF" w:rsidRDefault="00F42E71" w:rsidP="008459EF">
      <w:pPr>
        <w:rPr>
          <w:rFonts w:ascii="Times New Roman" w:hAnsi="Times New Roman"/>
          <w:b/>
          <w:sz w:val="24"/>
          <w:szCs w:val="24"/>
        </w:rPr>
      </w:pPr>
      <w:r>
        <w:rPr>
          <w:rFonts w:ascii="Times New Roman" w:hAnsi="Times New Roman"/>
          <w:b/>
          <w:sz w:val="24"/>
          <w:szCs w:val="24"/>
        </w:rPr>
        <w:t xml:space="preserve">C.3   </w:t>
      </w:r>
      <w:r w:rsidR="000344D8" w:rsidRPr="000344D8">
        <w:rPr>
          <w:rFonts w:ascii="Times New Roman" w:hAnsi="Times New Roman"/>
          <w:b/>
          <w:sz w:val="24"/>
          <w:szCs w:val="24"/>
        </w:rPr>
        <w:t xml:space="preserve">  </w:t>
      </w:r>
      <w:r w:rsidR="00F24401" w:rsidRPr="000344D8">
        <w:rPr>
          <w:rFonts w:ascii="Times New Roman" w:hAnsi="Times New Roman"/>
          <w:b/>
          <w:sz w:val="24"/>
          <w:szCs w:val="24"/>
        </w:rPr>
        <w:t>Motion for Relief from Stay:</w:t>
      </w:r>
    </w:p>
    <w:p w:rsidR="000344D8" w:rsidRPr="008459EF" w:rsidRDefault="000344D8" w:rsidP="008459EF">
      <w:pPr>
        <w:pStyle w:val="ListParagraph"/>
        <w:numPr>
          <w:ilvl w:val="0"/>
          <w:numId w:val="20"/>
        </w:numPr>
        <w:rPr>
          <w:rFonts w:ascii="Times New Roman" w:hAnsi="Times New Roman"/>
        </w:rPr>
      </w:pPr>
      <w:r w:rsidRPr="008459EF">
        <w:rPr>
          <w:rFonts w:ascii="Times New Roman" w:hAnsi="Times New Roman"/>
        </w:rPr>
        <w:t>Can be brought at any time</w:t>
      </w:r>
      <w:r w:rsidR="00AE07F2">
        <w:rPr>
          <w:rFonts w:ascii="Times New Roman" w:hAnsi="Times New Roman"/>
        </w:rPr>
        <w:t xml:space="preserve"> (if “cause”)</w:t>
      </w:r>
      <w:r w:rsidRPr="008459EF">
        <w:rPr>
          <w:rFonts w:ascii="Times New Roman" w:hAnsi="Times New Roman"/>
        </w:rPr>
        <w:t>.</w:t>
      </w:r>
    </w:p>
    <w:p w:rsidR="000344D8" w:rsidRDefault="000344D8" w:rsidP="000344D8">
      <w:pPr>
        <w:pStyle w:val="ListParagraph"/>
        <w:numPr>
          <w:ilvl w:val="0"/>
          <w:numId w:val="14"/>
        </w:numPr>
        <w:rPr>
          <w:rFonts w:ascii="Times New Roman" w:hAnsi="Times New Roman"/>
        </w:rPr>
      </w:pPr>
      <w:r>
        <w:rPr>
          <w:rFonts w:ascii="Times New Roman" w:hAnsi="Times New Roman"/>
        </w:rPr>
        <w:t>Most common reasons:</w:t>
      </w:r>
    </w:p>
    <w:tbl>
      <w:tblPr>
        <w:tblStyle w:val="TableGrid"/>
        <w:tblW w:w="0" w:type="auto"/>
        <w:tblLook w:val="04A0" w:firstRow="1" w:lastRow="0" w:firstColumn="1" w:lastColumn="0" w:noHBand="0" w:noVBand="1"/>
      </w:tblPr>
      <w:tblGrid>
        <w:gridCol w:w="3462"/>
        <w:gridCol w:w="3462"/>
        <w:gridCol w:w="3462"/>
      </w:tblGrid>
      <w:tr w:rsidR="000344D8" w:rsidTr="000344D8">
        <w:tc>
          <w:tcPr>
            <w:tcW w:w="3462" w:type="dxa"/>
          </w:tcPr>
          <w:p w:rsidR="000344D8" w:rsidRPr="000344D8" w:rsidRDefault="000344D8" w:rsidP="000344D8">
            <w:pPr>
              <w:rPr>
                <w:rFonts w:ascii="Times New Roman" w:hAnsi="Times New Roman"/>
                <w:b/>
              </w:rPr>
            </w:pPr>
            <w:r w:rsidRPr="000344D8">
              <w:rPr>
                <w:rFonts w:ascii="Times New Roman" w:hAnsi="Times New Roman"/>
                <w:b/>
              </w:rPr>
              <w:t>Unsecured</w:t>
            </w:r>
          </w:p>
        </w:tc>
        <w:tc>
          <w:tcPr>
            <w:tcW w:w="3462" w:type="dxa"/>
          </w:tcPr>
          <w:p w:rsidR="000344D8" w:rsidRPr="000344D8" w:rsidRDefault="000344D8" w:rsidP="000344D8">
            <w:pPr>
              <w:rPr>
                <w:rFonts w:ascii="Times New Roman" w:hAnsi="Times New Roman"/>
                <w:b/>
              </w:rPr>
            </w:pPr>
            <w:r w:rsidRPr="000344D8">
              <w:rPr>
                <w:rFonts w:ascii="Times New Roman" w:hAnsi="Times New Roman"/>
                <w:b/>
              </w:rPr>
              <w:t>Automobile</w:t>
            </w:r>
          </w:p>
        </w:tc>
        <w:tc>
          <w:tcPr>
            <w:tcW w:w="3462" w:type="dxa"/>
          </w:tcPr>
          <w:p w:rsidR="000344D8" w:rsidRPr="000344D8" w:rsidRDefault="000344D8" w:rsidP="000344D8">
            <w:pPr>
              <w:rPr>
                <w:rFonts w:ascii="Times New Roman" w:hAnsi="Times New Roman"/>
                <w:b/>
              </w:rPr>
            </w:pPr>
            <w:r w:rsidRPr="000344D8">
              <w:rPr>
                <w:rFonts w:ascii="Times New Roman" w:hAnsi="Times New Roman"/>
                <w:b/>
              </w:rPr>
              <w:t>Real Property</w:t>
            </w:r>
          </w:p>
        </w:tc>
      </w:tr>
      <w:tr w:rsidR="000344D8" w:rsidTr="000344D8">
        <w:tc>
          <w:tcPr>
            <w:tcW w:w="3462" w:type="dxa"/>
          </w:tcPr>
          <w:p w:rsidR="000344D8" w:rsidRDefault="000344D8" w:rsidP="000344D8">
            <w:pPr>
              <w:rPr>
                <w:rFonts w:ascii="Times New Roman" w:hAnsi="Times New Roman"/>
              </w:rPr>
            </w:pPr>
            <w:r>
              <w:rPr>
                <w:rFonts w:ascii="Times New Roman" w:hAnsi="Times New Roman"/>
              </w:rPr>
              <w:t xml:space="preserve"> Not usually brought by unsecured creditors. Exception: To conclude pending state court action so claim can be finalized in bankruptcy court e.g. fraud claims.</w:t>
            </w:r>
          </w:p>
          <w:p w:rsidR="00AF20B8" w:rsidRDefault="00AF20B8" w:rsidP="000344D8">
            <w:pPr>
              <w:rPr>
                <w:rFonts w:ascii="Times New Roman" w:hAnsi="Times New Roman"/>
              </w:rPr>
            </w:pPr>
            <w:r w:rsidRPr="00AF20B8">
              <w:rPr>
                <w:rFonts w:ascii="Times New Roman" w:hAnsi="Times New Roman"/>
                <w:b/>
              </w:rPr>
              <w:t>Note:</w:t>
            </w:r>
            <w:r>
              <w:rPr>
                <w:rFonts w:ascii="Times New Roman" w:hAnsi="Times New Roman"/>
              </w:rPr>
              <w:t xml:space="preserve"> Generally a motion to dismiss is proper remedy. </w:t>
            </w:r>
          </w:p>
          <w:p w:rsidR="000344D8" w:rsidRDefault="000344D8" w:rsidP="000344D8">
            <w:pPr>
              <w:rPr>
                <w:rFonts w:ascii="Times New Roman" w:hAnsi="Times New Roman"/>
              </w:rPr>
            </w:pPr>
          </w:p>
          <w:p w:rsidR="000344D8" w:rsidRDefault="000344D8" w:rsidP="000344D8">
            <w:pPr>
              <w:rPr>
                <w:rFonts w:ascii="Times New Roman" w:hAnsi="Times New Roman"/>
              </w:rPr>
            </w:pPr>
          </w:p>
          <w:p w:rsidR="000344D8" w:rsidRDefault="000344D8" w:rsidP="000344D8">
            <w:pPr>
              <w:rPr>
                <w:rFonts w:ascii="Times New Roman" w:hAnsi="Times New Roman"/>
              </w:rPr>
            </w:pPr>
          </w:p>
        </w:tc>
        <w:tc>
          <w:tcPr>
            <w:tcW w:w="3462" w:type="dxa"/>
          </w:tcPr>
          <w:p w:rsidR="000344D8" w:rsidRDefault="00C1312D" w:rsidP="00C1312D">
            <w:pPr>
              <w:pStyle w:val="ListParagraph"/>
              <w:numPr>
                <w:ilvl w:val="0"/>
                <w:numId w:val="15"/>
              </w:numPr>
              <w:rPr>
                <w:rFonts w:ascii="Times New Roman" w:hAnsi="Times New Roman"/>
              </w:rPr>
            </w:pPr>
            <w:r>
              <w:rPr>
                <w:rFonts w:ascii="Times New Roman" w:hAnsi="Times New Roman"/>
              </w:rPr>
              <w:t>When refile and bad faith</w:t>
            </w:r>
            <w:r w:rsidR="00400B47">
              <w:rPr>
                <w:rFonts w:ascii="Times New Roman" w:hAnsi="Times New Roman"/>
              </w:rPr>
              <w:t xml:space="preserve"> or refile that is prohibited by law</w:t>
            </w:r>
            <w:r w:rsidR="00FE597E">
              <w:rPr>
                <w:rFonts w:ascii="Times New Roman" w:hAnsi="Times New Roman"/>
              </w:rPr>
              <w:t xml:space="preserve">. </w:t>
            </w:r>
            <w:r w:rsidR="00400B47">
              <w:rPr>
                <w:rStyle w:val="FootnoteReference"/>
                <w:rFonts w:ascii="Times New Roman" w:hAnsi="Times New Roman"/>
              </w:rPr>
              <w:footnoteReference w:id="16"/>
            </w:r>
          </w:p>
          <w:p w:rsidR="00C1312D" w:rsidRDefault="00C1312D" w:rsidP="00C1312D">
            <w:pPr>
              <w:pStyle w:val="ListParagraph"/>
              <w:numPr>
                <w:ilvl w:val="0"/>
                <w:numId w:val="15"/>
              </w:numPr>
              <w:rPr>
                <w:rFonts w:ascii="Times New Roman" w:hAnsi="Times New Roman"/>
              </w:rPr>
            </w:pPr>
            <w:r>
              <w:rPr>
                <w:rFonts w:ascii="Times New Roman" w:hAnsi="Times New Roman"/>
              </w:rPr>
              <w:t>When insurance not maintained.</w:t>
            </w:r>
          </w:p>
          <w:p w:rsidR="00AF20B8" w:rsidRDefault="00C1312D" w:rsidP="00AF20B8">
            <w:pPr>
              <w:pStyle w:val="ListParagraph"/>
              <w:numPr>
                <w:ilvl w:val="0"/>
                <w:numId w:val="15"/>
              </w:numPr>
              <w:rPr>
                <w:rFonts w:ascii="Times New Roman" w:hAnsi="Times New Roman"/>
              </w:rPr>
            </w:pPr>
            <w:r>
              <w:rPr>
                <w:rFonts w:ascii="Times New Roman" w:hAnsi="Times New Roman"/>
              </w:rPr>
              <w:t xml:space="preserve">When </w:t>
            </w:r>
            <w:r w:rsidR="00AF20B8">
              <w:rPr>
                <w:rFonts w:ascii="Times New Roman" w:hAnsi="Times New Roman"/>
              </w:rPr>
              <w:t>basis to argue no right to restructure clam</w:t>
            </w:r>
            <w:r>
              <w:rPr>
                <w:rFonts w:ascii="Times New Roman" w:hAnsi="Times New Roman"/>
              </w:rPr>
              <w:t xml:space="preserve"> due to Rees </w:t>
            </w:r>
            <w:r w:rsidR="008E730E">
              <w:rPr>
                <w:rFonts w:ascii="Times New Roman" w:hAnsi="Times New Roman"/>
              </w:rPr>
              <w:t>Levering</w:t>
            </w:r>
            <w:r w:rsidR="00AF20B8">
              <w:rPr>
                <w:rFonts w:ascii="Times New Roman" w:hAnsi="Times New Roman"/>
              </w:rPr>
              <w:t xml:space="preserve"> Act</w:t>
            </w:r>
          </w:p>
          <w:p w:rsidR="00AF20B8" w:rsidRDefault="00AF20B8" w:rsidP="00AF20B8">
            <w:pPr>
              <w:pStyle w:val="ListParagraph"/>
              <w:numPr>
                <w:ilvl w:val="0"/>
                <w:numId w:val="15"/>
              </w:numPr>
              <w:rPr>
                <w:rFonts w:ascii="Times New Roman" w:hAnsi="Times New Roman"/>
              </w:rPr>
            </w:pPr>
            <w:r>
              <w:rPr>
                <w:rFonts w:ascii="Times New Roman" w:hAnsi="Times New Roman"/>
              </w:rPr>
              <w:t>Failure to make payments to Trustee.</w:t>
            </w:r>
          </w:p>
          <w:p w:rsidR="00C1312D" w:rsidRDefault="00AF20B8" w:rsidP="00AF20B8">
            <w:pPr>
              <w:pStyle w:val="ListParagraph"/>
              <w:numPr>
                <w:ilvl w:val="0"/>
                <w:numId w:val="15"/>
              </w:numPr>
              <w:rPr>
                <w:rFonts w:ascii="Times New Roman" w:hAnsi="Times New Roman"/>
              </w:rPr>
            </w:pPr>
            <w:r>
              <w:rPr>
                <w:rFonts w:ascii="Times New Roman" w:hAnsi="Times New Roman"/>
              </w:rPr>
              <w:lastRenderedPageBreak/>
              <w:t xml:space="preserve">Failure to Confirm </w:t>
            </w:r>
            <w:r w:rsidR="008E730E">
              <w:rPr>
                <w:rFonts w:ascii="Times New Roman" w:hAnsi="Times New Roman"/>
              </w:rPr>
              <w:t>Plan.</w:t>
            </w:r>
          </w:p>
          <w:p w:rsidR="00FE597E" w:rsidRDefault="00FE597E" w:rsidP="00FE597E">
            <w:pPr>
              <w:rPr>
                <w:rFonts w:ascii="Times New Roman" w:hAnsi="Times New Roman"/>
                <w:b/>
              </w:rPr>
            </w:pPr>
          </w:p>
          <w:p w:rsidR="00FE597E" w:rsidRPr="00C1312D" w:rsidRDefault="00FE597E" w:rsidP="008459EF">
            <w:pPr>
              <w:rPr>
                <w:rFonts w:ascii="Times New Roman" w:hAnsi="Times New Roman"/>
              </w:rPr>
            </w:pPr>
            <w:r w:rsidRPr="00FE597E">
              <w:rPr>
                <w:rFonts w:ascii="Times New Roman" w:hAnsi="Times New Roman"/>
                <w:b/>
              </w:rPr>
              <w:t xml:space="preserve">No Equity and Not Necessary for Reorg: </w:t>
            </w:r>
            <w:r>
              <w:rPr>
                <w:rFonts w:ascii="Times New Roman" w:hAnsi="Times New Roman"/>
                <w:b/>
              </w:rPr>
              <w:t xml:space="preserve"> Note</w:t>
            </w:r>
            <w:r>
              <w:rPr>
                <w:rStyle w:val="FootnoteReference"/>
                <w:rFonts w:ascii="Times New Roman" w:hAnsi="Times New Roman"/>
                <w:b/>
              </w:rPr>
              <w:footnoteReference w:id="17"/>
            </w:r>
            <w:r>
              <w:rPr>
                <w:rFonts w:ascii="Times New Roman" w:hAnsi="Times New Roman"/>
                <w:b/>
              </w:rPr>
              <w:t xml:space="preserve"> </w:t>
            </w:r>
          </w:p>
        </w:tc>
        <w:tc>
          <w:tcPr>
            <w:tcW w:w="3462" w:type="dxa"/>
          </w:tcPr>
          <w:p w:rsidR="000344D8" w:rsidRPr="00FE597E" w:rsidRDefault="00FE597E" w:rsidP="00FE597E">
            <w:pPr>
              <w:rPr>
                <w:rFonts w:ascii="Times New Roman" w:hAnsi="Times New Roman"/>
              </w:rPr>
            </w:pPr>
            <w:r>
              <w:rPr>
                <w:rFonts w:ascii="Times New Roman" w:hAnsi="Times New Roman"/>
                <w:b/>
              </w:rPr>
              <w:lastRenderedPageBreak/>
              <w:t xml:space="preserve">For </w:t>
            </w:r>
            <w:r w:rsidRPr="00FE597E">
              <w:rPr>
                <w:rFonts w:ascii="Times New Roman" w:hAnsi="Times New Roman"/>
                <w:b/>
              </w:rPr>
              <w:t>Cause</w:t>
            </w:r>
            <w:r>
              <w:rPr>
                <w:rFonts w:ascii="Times New Roman" w:hAnsi="Times New Roman"/>
              </w:rPr>
              <w:t xml:space="preserve">: </w:t>
            </w:r>
            <w:r w:rsidR="00400B47" w:rsidRPr="00FE597E">
              <w:rPr>
                <w:rFonts w:ascii="Times New Roman" w:hAnsi="Times New Roman"/>
              </w:rPr>
              <w:t>When refile and bad faith or refile that is prohibited by law</w:t>
            </w:r>
            <w:r>
              <w:rPr>
                <w:rFonts w:ascii="Times New Roman" w:hAnsi="Times New Roman"/>
              </w:rPr>
              <w:t xml:space="preserve">. </w:t>
            </w:r>
            <w:r>
              <w:rPr>
                <w:rStyle w:val="FootnoteReference"/>
                <w:rFonts w:ascii="Times New Roman" w:hAnsi="Times New Roman"/>
              </w:rPr>
              <w:footnoteReference w:id="18"/>
            </w:r>
          </w:p>
          <w:p w:rsidR="00400B47" w:rsidRDefault="00400B47" w:rsidP="00400B47">
            <w:pPr>
              <w:pStyle w:val="ListParagraph"/>
              <w:numPr>
                <w:ilvl w:val="0"/>
                <w:numId w:val="15"/>
              </w:numPr>
              <w:rPr>
                <w:rFonts w:ascii="Times New Roman" w:hAnsi="Times New Roman"/>
              </w:rPr>
            </w:pPr>
            <w:r>
              <w:rPr>
                <w:rFonts w:ascii="Times New Roman" w:hAnsi="Times New Roman"/>
              </w:rPr>
              <w:t>Failure to make post-</w:t>
            </w:r>
            <w:r w:rsidR="008E730E">
              <w:rPr>
                <w:rFonts w:ascii="Times New Roman" w:hAnsi="Times New Roman"/>
              </w:rPr>
              <w:t>petition payments</w:t>
            </w:r>
            <w:r>
              <w:rPr>
                <w:rFonts w:ascii="Times New Roman" w:hAnsi="Times New Roman"/>
              </w:rPr>
              <w:t xml:space="preserve"> to creditor or trustee.</w:t>
            </w:r>
          </w:p>
          <w:p w:rsidR="00400B47" w:rsidRDefault="00FE597E" w:rsidP="00400B47">
            <w:pPr>
              <w:pStyle w:val="ListParagraph"/>
              <w:numPr>
                <w:ilvl w:val="0"/>
                <w:numId w:val="15"/>
              </w:numPr>
              <w:rPr>
                <w:rFonts w:ascii="Times New Roman" w:hAnsi="Times New Roman"/>
              </w:rPr>
            </w:pPr>
            <w:r>
              <w:rPr>
                <w:rFonts w:ascii="Times New Roman" w:hAnsi="Times New Roman"/>
              </w:rPr>
              <w:t>Failure to pay taxes or insurance/</w:t>
            </w:r>
          </w:p>
          <w:p w:rsidR="00FE597E" w:rsidRDefault="00FE597E" w:rsidP="00400B47">
            <w:pPr>
              <w:pStyle w:val="ListParagraph"/>
              <w:numPr>
                <w:ilvl w:val="0"/>
                <w:numId w:val="15"/>
              </w:numPr>
              <w:rPr>
                <w:rFonts w:ascii="Times New Roman" w:hAnsi="Times New Roman"/>
              </w:rPr>
            </w:pPr>
            <w:r>
              <w:rPr>
                <w:rFonts w:ascii="Times New Roman" w:hAnsi="Times New Roman"/>
              </w:rPr>
              <w:t>Misuse of Rents.</w:t>
            </w:r>
          </w:p>
          <w:p w:rsidR="00FE597E" w:rsidRDefault="00FE597E" w:rsidP="00FE597E">
            <w:pPr>
              <w:rPr>
                <w:rFonts w:ascii="Times New Roman" w:hAnsi="Times New Roman"/>
                <w:b/>
              </w:rPr>
            </w:pPr>
          </w:p>
          <w:p w:rsidR="00FE597E" w:rsidRDefault="00FE597E" w:rsidP="00FE597E">
            <w:pPr>
              <w:rPr>
                <w:rFonts w:ascii="Times New Roman" w:hAnsi="Times New Roman"/>
                <w:b/>
              </w:rPr>
            </w:pPr>
            <w:r w:rsidRPr="00FE597E">
              <w:rPr>
                <w:rFonts w:ascii="Times New Roman" w:hAnsi="Times New Roman"/>
                <w:b/>
              </w:rPr>
              <w:t xml:space="preserve">No Equity and Not Necessary for </w:t>
            </w:r>
            <w:r w:rsidRPr="00FE597E">
              <w:rPr>
                <w:rFonts w:ascii="Times New Roman" w:hAnsi="Times New Roman"/>
                <w:b/>
              </w:rPr>
              <w:lastRenderedPageBreak/>
              <w:t xml:space="preserve">Reorg: </w:t>
            </w:r>
          </w:p>
          <w:p w:rsidR="00FE597E" w:rsidRPr="00FE597E" w:rsidRDefault="00FE597E" w:rsidP="00FE597E">
            <w:pPr>
              <w:pStyle w:val="ListParagraph"/>
              <w:numPr>
                <w:ilvl w:val="0"/>
                <w:numId w:val="16"/>
              </w:numPr>
              <w:rPr>
                <w:rFonts w:ascii="Times New Roman" w:hAnsi="Times New Roman"/>
                <w:b/>
              </w:rPr>
            </w:pPr>
            <w:r w:rsidRPr="00FE597E">
              <w:rPr>
                <w:rFonts w:ascii="Times New Roman" w:hAnsi="Times New Roman"/>
              </w:rPr>
              <w:t>Must have valuation.</w:t>
            </w:r>
            <w:r>
              <w:rPr>
                <w:rStyle w:val="FootnoteReference"/>
                <w:rFonts w:ascii="Times New Roman" w:hAnsi="Times New Roman"/>
                <w:b/>
              </w:rPr>
              <w:footnoteReference w:id="19"/>
            </w:r>
          </w:p>
        </w:tc>
      </w:tr>
    </w:tbl>
    <w:p w:rsidR="000344D8" w:rsidRDefault="000344D8" w:rsidP="000344D8">
      <w:pPr>
        <w:rPr>
          <w:rFonts w:ascii="Times New Roman" w:hAnsi="Times New Roman"/>
        </w:rPr>
      </w:pPr>
    </w:p>
    <w:p w:rsidR="00603B12" w:rsidRDefault="00F42E71" w:rsidP="00603B12">
      <w:pPr>
        <w:rPr>
          <w:rFonts w:ascii="Times New Roman" w:hAnsi="Times New Roman"/>
          <w:sz w:val="24"/>
          <w:szCs w:val="24"/>
        </w:rPr>
      </w:pPr>
      <w:r>
        <w:rPr>
          <w:rFonts w:ascii="Times New Roman" w:hAnsi="Times New Roman"/>
        </w:rPr>
        <w:t xml:space="preserve">C.3     </w:t>
      </w:r>
      <w:r w:rsidRPr="00EF4672">
        <w:rPr>
          <w:rFonts w:ascii="Times New Roman" w:hAnsi="Times New Roman"/>
          <w:sz w:val="24"/>
          <w:szCs w:val="24"/>
          <w:u w:val="single"/>
        </w:rPr>
        <w:t>Annulling the Stay:</w:t>
      </w:r>
      <w:r w:rsidRPr="00EF4672">
        <w:rPr>
          <w:rFonts w:ascii="Times New Roman" w:hAnsi="Times New Roman"/>
          <w:sz w:val="24"/>
          <w:szCs w:val="24"/>
        </w:rPr>
        <w:t xml:space="preserve">  What about foreclosure sales or repossessions that violate the stay?  Annulling the stay should not be used as a substitute for complying with the stay. </w:t>
      </w:r>
    </w:p>
    <w:p w:rsidR="00F42E71" w:rsidRPr="00603B12" w:rsidRDefault="00F42E71" w:rsidP="00603B12">
      <w:pPr>
        <w:pStyle w:val="ListParagraph"/>
        <w:numPr>
          <w:ilvl w:val="0"/>
          <w:numId w:val="16"/>
        </w:numPr>
        <w:rPr>
          <w:rFonts w:ascii="Times New Roman" w:hAnsi="Times New Roman"/>
          <w:sz w:val="24"/>
          <w:szCs w:val="24"/>
          <w:u w:val="single"/>
        </w:rPr>
      </w:pPr>
      <w:r w:rsidRPr="00603B12">
        <w:rPr>
          <w:rFonts w:ascii="Times New Roman" w:hAnsi="Times New Roman"/>
          <w:sz w:val="24"/>
          <w:szCs w:val="24"/>
          <w:u w:val="single"/>
        </w:rPr>
        <w:t>Re: Real Property:</w:t>
      </w:r>
      <w:r w:rsidRPr="00603B12">
        <w:rPr>
          <w:rFonts w:ascii="Times New Roman" w:hAnsi="Times New Roman"/>
          <w:sz w:val="24"/>
          <w:szCs w:val="24"/>
        </w:rPr>
        <w:t xml:space="preserve">  Generally, as long as foreclosure sale held </w:t>
      </w:r>
      <w:r w:rsidRPr="00603B12">
        <w:rPr>
          <w:rFonts w:ascii="Times New Roman" w:hAnsi="Times New Roman"/>
          <w:b/>
          <w:sz w:val="24"/>
          <w:szCs w:val="24"/>
          <w:u w:val="single"/>
        </w:rPr>
        <w:t>before</w:t>
      </w:r>
      <w:r w:rsidRPr="00603B12">
        <w:rPr>
          <w:rFonts w:ascii="Times New Roman" w:hAnsi="Times New Roman"/>
          <w:sz w:val="24"/>
          <w:szCs w:val="24"/>
        </w:rPr>
        <w:t xml:space="preserve"> BK, trustee can record TDUS and purchaser at sale can move to annul stay (</w:t>
      </w:r>
      <w:r w:rsidRPr="00AE07F2">
        <w:rPr>
          <w:rFonts w:ascii="Times New Roman" w:hAnsi="Times New Roman"/>
          <w:i/>
          <w:sz w:val="24"/>
          <w:szCs w:val="24"/>
        </w:rPr>
        <w:t>See</w:t>
      </w:r>
      <w:r w:rsidRPr="00603B12">
        <w:rPr>
          <w:rFonts w:ascii="Times New Roman" w:hAnsi="Times New Roman"/>
          <w:color w:val="333333"/>
          <w:sz w:val="24"/>
          <w:szCs w:val="24"/>
        </w:rPr>
        <w:t xml:space="preserve"> Civil Code </w:t>
      </w:r>
      <w:hyperlink r:id="rId12" w:history="1">
        <w:r w:rsidRPr="00603B12">
          <w:rPr>
            <w:rStyle w:val="Hyperlink"/>
            <w:rFonts w:ascii="Times New Roman" w:hAnsi="Times New Roman"/>
            <w:sz w:val="24"/>
            <w:szCs w:val="24"/>
          </w:rPr>
          <w:t>§ 2924h(c)</w:t>
        </w:r>
      </w:hyperlink>
      <w:r w:rsidRPr="00603B12">
        <w:rPr>
          <w:rFonts w:ascii="Times New Roman" w:hAnsi="Times New Roman"/>
          <w:color w:val="333333"/>
          <w:sz w:val="24"/>
          <w:szCs w:val="24"/>
        </w:rPr>
        <w:t xml:space="preserve"> and</w:t>
      </w:r>
      <w:r w:rsidRPr="00603B12">
        <w:rPr>
          <w:rFonts w:ascii="Times New Roman" w:hAnsi="Times New Roman"/>
          <w:sz w:val="24"/>
          <w:szCs w:val="24"/>
        </w:rPr>
        <w:t xml:space="preserve"> </w:t>
      </w:r>
      <w:r w:rsidRPr="00AE07F2">
        <w:rPr>
          <w:rFonts w:ascii="Times New Roman" w:hAnsi="Times New Roman"/>
          <w:bCs/>
          <w:i/>
          <w:sz w:val="24"/>
          <w:szCs w:val="24"/>
        </w:rPr>
        <w:t>In re Garner</w:t>
      </w:r>
      <w:r w:rsidRPr="00AE07F2">
        <w:rPr>
          <w:rFonts w:ascii="Times New Roman" w:hAnsi="Times New Roman"/>
          <w:bCs/>
          <w:sz w:val="24"/>
          <w:szCs w:val="24"/>
        </w:rPr>
        <w:t>, 208 B.R. 698 (Bankr. N.D. Cal. 1997)</w:t>
      </w:r>
      <w:r w:rsidR="00AE07F2">
        <w:rPr>
          <w:rFonts w:ascii="Times New Roman" w:hAnsi="Times New Roman"/>
          <w:bCs/>
          <w:sz w:val="24"/>
          <w:szCs w:val="24"/>
        </w:rPr>
        <w:t xml:space="preserve"> and </w:t>
      </w:r>
      <w:r w:rsidR="00AE07F2" w:rsidRPr="00AE07F2">
        <w:rPr>
          <w:rFonts w:ascii="Times New Roman" w:hAnsi="Times New Roman"/>
          <w:i/>
          <w:sz w:val="24"/>
          <w:szCs w:val="24"/>
        </w:rPr>
        <w:t>Shirazi v. Bank of Am., N.A. (In re Shirazi)</w:t>
      </w:r>
      <w:r w:rsidR="00AE07F2" w:rsidRPr="00AE07F2">
        <w:rPr>
          <w:rFonts w:ascii="Times New Roman" w:hAnsi="Times New Roman"/>
          <w:sz w:val="24"/>
          <w:szCs w:val="24"/>
        </w:rPr>
        <w:t>, 2013 U.S. Dist. LEXIS 85654 (C.D. Cal. June 18, 2013)</w:t>
      </w:r>
      <w:r w:rsidRPr="00AE07F2">
        <w:rPr>
          <w:rFonts w:ascii="Times New Roman" w:hAnsi="Times New Roman"/>
          <w:bCs/>
          <w:sz w:val="24"/>
          <w:szCs w:val="24"/>
        </w:rPr>
        <w:t>)</w:t>
      </w:r>
      <w:r w:rsidRPr="00AE07F2">
        <w:rPr>
          <w:rFonts w:ascii="Times New Roman" w:hAnsi="Times New Roman"/>
          <w:b/>
          <w:bCs/>
          <w:sz w:val="24"/>
          <w:szCs w:val="24"/>
        </w:rPr>
        <w:t xml:space="preserve">.  </w:t>
      </w:r>
      <w:r w:rsidRPr="00AE07F2">
        <w:rPr>
          <w:rFonts w:ascii="Times New Roman" w:hAnsi="Times New Roman"/>
          <w:bCs/>
          <w:sz w:val="24"/>
          <w:szCs w:val="24"/>
        </w:rPr>
        <w:t>However</w:t>
      </w:r>
      <w:r w:rsidRPr="00603B12">
        <w:rPr>
          <w:rFonts w:ascii="Times New Roman" w:hAnsi="Times New Roman"/>
          <w:bCs/>
          <w:sz w:val="24"/>
          <w:szCs w:val="24"/>
        </w:rPr>
        <w:t>, there is contra authority.</w:t>
      </w:r>
    </w:p>
    <w:p w:rsidR="00F42E71" w:rsidRPr="002F44EB" w:rsidRDefault="00F42E71" w:rsidP="00603B12">
      <w:pPr>
        <w:numPr>
          <w:ilvl w:val="0"/>
          <w:numId w:val="19"/>
        </w:numPr>
        <w:rPr>
          <w:rFonts w:ascii="Times New Roman" w:hAnsi="Times New Roman"/>
          <w:sz w:val="24"/>
          <w:szCs w:val="24"/>
          <w:u w:val="single"/>
        </w:rPr>
      </w:pPr>
      <w:r w:rsidRPr="00EF4672">
        <w:rPr>
          <w:rFonts w:ascii="Times New Roman" w:hAnsi="Times New Roman"/>
          <w:sz w:val="24"/>
          <w:szCs w:val="24"/>
          <w:u w:val="single"/>
        </w:rPr>
        <w:t>Re:</w:t>
      </w:r>
      <w:r w:rsidRPr="00EF4672">
        <w:rPr>
          <w:rFonts w:ascii="Times New Roman" w:hAnsi="Times New Roman"/>
          <w:bCs/>
          <w:sz w:val="24"/>
          <w:szCs w:val="24"/>
          <w:u w:val="single"/>
        </w:rPr>
        <w:t xml:space="preserve"> Vehicles</w:t>
      </w:r>
      <w:r w:rsidRPr="00EF4672">
        <w:rPr>
          <w:rFonts w:ascii="Times New Roman" w:hAnsi="Times New Roman"/>
          <w:b/>
          <w:bCs/>
          <w:sz w:val="24"/>
          <w:szCs w:val="24"/>
        </w:rPr>
        <w:t xml:space="preserve">:  </w:t>
      </w:r>
      <w:r w:rsidRPr="00EF4672">
        <w:rPr>
          <w:rFonts w:ascii="Times New Roman" w:hAnsi="Times New Roman"/>
          <w:bCs/>
          <w:sz w:val="24"/>
          <w:szCs w:val="24"/>
        </w:rPr>
        <w:t>There is no state law statute that allows validation of repo before sale. While you can move to annul stay in appropriate cases (e.g. See Civil Code § 2983.3, prohibiting reinstatement in certain cases i.e. 2</w:t>
      </w:r>
      <w:r w:rsidRPr="00EF4672">
        <w:rPr>
          <w:rFonts w:ascii="Times New Roman" w:hAnsi="Times New Roman"/>
          <w:bCs/>
          <w:sz w:val="24"/>
          <w:szCs w:val="24"/>
          <w:vertAlign w:val="superscript"/>
        </w:rPr>
        <w:t>nd</w:t>
      </w:r>
      <w:r w:rsidRPr="00EF4672">
        <w:rPr>
          <w:rFonts w:ascii="Times New Roman" w:hAnsi="Times New Roman"/>
          <w:bCs/>
          <w:sz w:val="24"/>
          <w:szCs w:val="24"/>
        </w:rPr>
        <w:t xml:space="preserve"> repo in one year etc.), withholding a vehicle can and will lead to stay violation claims.</w:t>
      </w:r>
    </w:p>
    <w:p w:rsidR="002F44EB" w:rsidRPr="00C361DB" w:rsidRDefault="002F44EB" w:rsidP="002F44EB">
      <w:pPr>
        <w:pStyle w:val="Heading2"/>
        <w:ind w:left="360"/>
        <w:jc w:val="center"/>
        <w:rPr>
          <w:sz w:val="28"/>
          <w:szCs w:val="28"/>
        </w:rPr>
      </w:pPr>
      <w:r w:rsidRPr="00C361DB">
        <w:rPr>
          <w:noProof/>
        </w:rPr>
        <w:drawing>
          <wp:inline distT="0" distB="0" distL="0" distR="0" wp14:anchorId="5BA7AAB2" wp14:editId="4A4C534B">
            <wp:extent cx="579978" cy="585787"/>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41" cy="585851"/>
                    </a:xfrm>
                    <a:prstGeom prst="rect">
                      <a:avLst/>
                    </a:prstGeom>
                    <a:noFill/>
                    <a:ln>
                      <a:noFill/>
                    </a:ln>
                  </pic:spPr>
                </pic:pic>
              </a:graphicData>
            </a:graphic>
          </wp:inline>
        </w:drawing>
      </w:r>
      <w:r w:rsidRPr="00C361DB">
        <w:rPr>
          <w:sz w:val="28"/>
          <w:szCs w:val="28"/>
        </w:rPr>
        <w:t xml:space="preserve"> Don’t forget Factor 11 on : iTunes, Amazon and CD Baby (</w:t>
      </w:r>
      <w:hyperlink r:id="rId14" w:history="1">
        <w:r w:rsidRPr="00C361DB">
          <w:rPr>
            <w:rStyle w:val="Hyperlink"/>
            <w:sz w:val="28"/>
            <w:szCs w:val="28"/>
          </w:rPr>
          <w:t>http://www.cdbaby.com/cd/factor11</w:t>
        </w:r>
      </w:hyperlink>
      <w:r w:rsidRPr="00C361DB">
        <w:rPr>
          <w:sz w:val="28"/>
          <w:szCs w:val="28"/>
        </w:rPr>
        <w:t>).</w:t>
      </w:r>
    </w:p>
    <w:p w:rsidR="00F42E71" w:rsidRPr="000344D8" w:rsidRDefault="00F42E71" w:rsidP="000344D8">
      <w:pPr>
        <w:rPr>
          <w:rFonts w:ascii="Times New Roman" w:hAnsi="Times New Roman"/>
        </w:rPr>
      </w:pPr>
    </w:p>
    <w:sectPr w:rsidR="00F42E71" w:rsidRPr="000344D8" w:rsidSect="00DC3E67">
      <w:headerReference w:type="even" r:id="rId15"/>
      <w:headerReference w:type="default" r:id="rId16"/>
      <w:footerReference w:type="even" r:id="rId17"/>
      <w:footerReference w:type="default" r:id="rId18"/>
      <w:headerReference w:type="first" r:id="rId19"/>
      <w:footerReference w:type="first" r:id="rId20"/>
      <w:pgSz w:w="12240" w:h="15840"/>
      <w:pgMar w:top="900" w:right="810" w:bottom="63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E5" w:rsidRDefault="002349E5" w:rsidP="00453E21">
      <w:pPr>
        <w:spacing w:after="0" w:line="240" w:lineRule="auto"/>
      </w:pPr>
      <w:r>
        <w:separator/>
      </w:r>
    </w:p>
  </w:endnote>
  <w:endnote w:type="continuationSeparator" w:id="0">
    <w:p w:rsidR="002349E5" w:rsidRDefault="002349E5" w:rsidP="0045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D" w:rsidRDefault="00DF0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E5" w:rsidRDefault="00C51AB2">
    <w:pPr>
      <w:pStyle w:val="Footer"/>
    </w:pPr>
    <w:r>
      <w:t>SLG-</w:t>
    </w:r>
    <w:r w:rsidR="00DF08BD">
      <w:t xml:space="preserve">SFFCU </w:t>
    </w:r>
    <w:r w:rsidR="002349E5">
      <w:t>seminar-</w:t>
    </w:r>
    <w:r w:rsidR="009F28FA">
      <w:fldChar w:fldCharType="begin"/>
    </w:r>
    <w:r w:rsidR="009F28FA">
      <w:instrText xml:space="preserve"> PAGE   \* MERGEFORMAT </w:instrText>
    </w:r>
    <w:r w:rsidR="009F28FA">
      <w:fldChar w:fldCharType="separate"/>
    </w:r>
    <w:r w:rsidR="00FF301A">
      <w:rPr>
        <w:noProof/>
      </w:rPr>
      <w:t>2</w:t>
    </w:r>
    <w:r w:rsidR="009F28FA">
      <w:rPr>
        <w:noProof/>
      </w:rPr>
      <w:fldChar w:fldCharType="end"/>
    </w:r>
  </w:p>
  <w:p w:rsidR="002349E5" w:rsidRDefault="00234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D" w:rsidRDefault="00DF0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E5" w:rsidRDefault="002349E5" w:rsidP="00453E21">
      <w:pPr>
        <w:spacing w:after="0" w:line="240" w:lineRule="auto"/>
      </w:pPr>
      <w:r>
        <w:separator/>
      </w:r>
    </w:p>
  </w:footnote>
  <w:footnote w:type="continuationSeparator" w:id="0">
    <w:p w:rsidR="002349E5" w:rsidRDefault="002349E5" w:rsidP="00453E21">
      <w:pPr>
        <w:spacing w:after="0" w:line="240" w:lineRule="auto"/>
      </w:pPr>
      <w:r>
        <w:continuationSeparator/>
      </w:r>
    </w:p>
  </w:footnote>
  <w:footnote w:id="1">
    <w:p w:rsidR="002349E5" w:rsidRPr="000344D8" w:rsidRDefault="002349E5">
      <w:pPr>
        <w:pStyle w:val="FootnoteText"/>
        <w:rPr>
          <w:sz w:val="22"/>
          <w:szCs w:val="22"/>
        </w:rPr>
      </w:pPr>
      <w:r w:rsidRPr="000344D8">
        <w:rPr>
          <w:rStyle w:val="FootnoteReference"/>
          <w:sz w:val="22"/>
          <w:szCs w:val="22"/>
        </w:rPr>
        <w:footnoteRef/>
      </w:r>
      <w:r w:rsidRPr="000344D8">
        <w:rPr>
          <w:sz w:val="22"/>
          <w:szCs w:val="22"/>
        </w:rPr>
        <w:t xml:space="preserve"> BK. Rule 3002</w:t>
      </w:r>
    </w:p>
  </w:footnote>
  <w:footnote w:id="2">
    <w:p w:rsidR="002349E5" w:rsidRPr="000344D8" w:rsidRDefault="002349E5">
      <w:pPr>
        <w:pStyle w:val="FootnoteText"/>
        <w:rPr>
          <w:sz w:val="22"/>
          <w:szCs w:val="22"/>
        </w:rPr>
      </w:pPr>
      <w:r w:rsidRPr="000344D8">
        <w:rPr>
          <w:rStyle w:val="FootnoteReference"/>
          <w:sz w:val="22"/>
          <w:szCs w:val="22"/>
        </w:rPr>
        <w:footnoteRef/>
      </w:r>
      <w:r w:rsidRPr="000344D8">
        <w:rPr>
          <w:sz w:val="22"/>
          <w:szCs w:val="22"/>
        </w:rPr>
        <w:t xml:space="preserve"> This is often a title company issue. Many title companies will not proceed with foreclosure unless the case is closed, relief from stay is granted or the Trustee abandons the property. Some may proceed with a discharge and No Asset Report. </w:t>
      </w:r>
    </w:p>
  </w:footnote>
  <w:footnote w:id="3">
    <w:p w:rsidR="00A9637B" w:rsidRPr="00A126E4" w:rsidRDefault="00A9637B">
      <w:pPr>
        <w:pStyle w:val="FootnoteText"/>
        <w:rPr>
          <w:sz w:val="20"/>
        </w:rPr>
      </w:pPr>
      <w:r w:rsidRPr="004C73C8">
        <w:rPr>
          <w:rStyle w:val="FootnoteReference"/>
          <w:sz w:val="20"/>
        </w:rPr>
        <w:footnoteRef/>
      </w:r>
      <w:r w:rsidRPr="004C73C8">
        <w:rPr>
          <w:sz w:val="20"/>
        </w:rPr>
        <w:t xml:space="preserve">  11 USC § 524(J), generally provides that the BK discharge injunction does not prohibit</w:t>
      </w:r>
      <w:r w:rsidR="004C73C8" w:rsidRPr="004C73C8">
        <w:rPr>
          <w:sz w:val="20"/>
        </w:rPr>
        <w:t xml:space="preserve"> a secured creditor which has a security interest in the principal residence of the debtor from communicating in the ordinary course of business if the communication is limited to seeking or obtaining period payments on a valid security interest in lieu of pursuing in rem relief </w:t>
      </w:r>
      <w:r w:rsidR="004C73C8" w:rsidRPr="00A126E4">
        <w:rPr>
          <w:sz w:val="20"/>
        </w:rPr>
        <w:t xml:space="preserve">to enforce the lien. </w:t>
      </w:r>
    </w:p>
  </w:footnote>
  <w:footnote w:id="4">
    <w:p w:rsidR="00A126E4" w:rsidRDefault="00A126E4">
      <w:pPr>
        <w:pStyle w:val="FootnoteText"/>
      </w:pPr>
      <w:r w:rsidRPr="00A126E4">
        <w:rPr>
          <w:rStyle w:val="FootnoteReference"/>
          <w:sz w:val="20"/>
        </w:rPr>
        <w:footnoteRef/>
      </w:r>
      <w:r w:rsidRPr="00A126E4">
        <w:rPr>
          <w:sz w:val="20"/>
        </w:rPr>
        <w:t xml:space="preserve"> As of 1.10.14, the effective date of the implementation of the new Dodd-Frank Mortgage Servicing Rules, there is known case law or CFPB guidance on whether complying with payment notification requirements etc. would be excused by a BK discharge.</w:t>
      </w:r>
      <w:r>
        <w:t xml:space="preserve">  </w:t>
      </w:r>
    </w:p>
  </w:footnote>
  <w:footnote w:id="5">
    <w:p w:rsidR="002349E5" w:rsidRPr="00EA001C" w:rsidRDefault="002349E5">
      <w:pPr>
        <w:pStyle w:val="FootnoteText"/>
        <w:rPr>
          <w:sz w:val="20"/>
        </w:rPr>
      </w:pPr>
    </w:p>
  </w:footnote>
  <w:footnote w:id="6">
    <w:p w:rsidR="002349E5" w:rsidRPr="00EA001C" w:rsidRDefault="002349E5">
      <w:pPr>
        <w:pStyle w:val="FootnoteText"/>
        <w:rPr>
          <w:sz w:val="20"/>
        </w:rPr>
      </w:pPr>
      <w:r w:rsidRPr="00EA001C">
        <w:rPr>
          <w:rStyle w:val="FootnoteReference"/>
          <w:sz w:val="20"/>
        </w:rPr>
        <w:footnoteRef/>
      </w:r>
      <w:r w:rsidRPr="00EA001C">
        <w:rPr>
          <w:sz w:val="20"/>
        </w:rPr>
        <w:t xml:space="preserve"> Remember special protection afforded to purchase-money “910” loans (See 11 USC §1325 (a).</w:t>
      </w:r>
    </w:p>
  </w:footnote>
  <w:footnote w:id="7">
    <w:p w:rsidR="002349E5" w:rsidRPr="00EA001C" w:rsidRDefault="002349E5">
      <w:pPr>
        <w:pStyle w:val="FootnoteText"/>
        <w:rPr>
          <w:sz w:val="20"/>
        </w:rPr>
      </w:pPr>
      <w:r w:rsidRPr="00EA001C">
        <w:rPr>
          <w:rStyle w:val="FootnoteReference"/>
          <w:sz w:val="20"/>
        </w:rPr>
        <w:footnoteRef/>
      </w:r>
      <w:r w:rsidRPr="00EA001C">
        <w:rPr>
          <w:sz w:val="20"/>
        </w:rPr>
        <w:t xml:space="preserve"> This consideration is even more important in jurisdictions where-</w:t>
      </w:r>
      <w:r w:rsidRPr="00EA001C">
        <w:rPr>
          <w:b/>
          <w:sz w:val="20"/>
          <w:u w:val="single"/>
        </w:rPr>
        <w:t>post-petition</w:t>
      </w:r>
      <w:r w:rsidRPr="00EA001C">
        <w:rPr>
          <w:sz w:val="20"/>
        </w:rPr>
        <w:t xml:space="preserve">  payments are made to the Chapter 13 Trustee for disbursement to the creditor.</w:t>
      </w:r>
    </w:p>
  </w:footnote>
  <w:footnote w:id="8">
    <w:p w:rsidR="002349E5" w:rsidRPr="00EA001C" w:rsidRDefault="002349E5">
      <w:pPr>
        <w:pStyle w:val="FootnoteText"/>
        <w:rPr>
          <w:sz w:val="20"/>
        </w:rPr>
      </w:pPr>
      <w:r w:rsidRPr="00EA001C">
        <w:rPr>
          <w:rStyle w:val="FootnoteReference"/>
          <w:sz w:val="20"/>
        </w:rPr>
        <w:footnoteRef/>
      </w:r>
      <w:r w:rsidRPr="00EA001C">
        <w:rPr>
          <w:sz w:val="20"/>
        </w:rPr>
        <w:t xml:space="preserve"> Note 11 USC §1326 (a) (1) (C) requiring payments to PM auto lenders within 30 days.</w:t>
      </w:r>
    </w:p>
  </w:footnote>
  <w:footnote w:id="9">
    <w:p w:rsidR="002349E5" w:rsidRPr="00EA001C" w:rsidRDefault="002349E5">
      <w:pPr>
        <w:pStyle w:val="FootnoteText"/>
        <w:rPr>
          <w:sz w:val="20"/>
        </w:rPr>
      </w:pPr>
      <w:r w:rsidRPr="00EA001C">
        <w:rPr>
          <w:rStyle w:val="FootnoteReference"/>
          <w:sz w:val="20"/>
        </w:rPr>
        <w:footnoteRef/>
      </w:r>
      <w:r w:rsidRPr="00EA001C">
        <w:rPr>
          <w:sz w:val="20"/>
        </w:rPr>
        <w:t xml:space="preserve"> Remember special protection to owner-occupied residential properties (See 11 USC § 13</w:t>
      </w:r>
      <w:r w:rsidR="00E66FC4">
        <w:rPr>
          <w:sz w:val="20"/>
        </w:rPr>
        <w:t>22 (b)), but remember:  claim valuation (</w:t>
      </w:r>
      <w:r w:rsidRPr="00EA001C">
        <w:rPr>
          <w:sz w:val="20"/>
        </w:rPr>
        <w:t>11 USC §506) can override: “In for a dollar, in for the whole amount” (</w:t>
      </w:r>
      <w:r w:rsidRPr="00EA001C">
        <w:rPr>
          <w:i/>
          <w:sz w:val="20"/>
        </w:rPr>
        <w:t>See</w:t>
      </w:r>
      <w:r w:rsidR="00EA001C" w:rsidRPr="00EA001C">
        <w:rPr>
          <w:i/>
          <w:sz w:val="20"/>
        </w:rPr>
        <w:t xml:space="preserve"> In</w:t>
      </w:r>
      <w:r w:rsidRPr="00EA001C">
        <w:rPr>
          <w:i/>
          <w:iCs/>
          <w:sz w:val="20"/>
        </w:rPr>
        <w:t xml:space="preserve"> re Lam</w:t>
      </w:r>
      <w:r w:rsidRPr="00EA001C">
        <w:rPr>
          <w:sz w:val="20"/>
        </w:rPr>
        <w:t>, 211 B.R. 36, 40-41 (B.A.P. 9th Cir. 1997).</w:t>
      </w:r>
    </w:p>
  </w:footnote>
  <w:footnote w:id="10">
    <w:p w:rsidR="002349E5" w:rsidRPr="00AE07F2" w:rsidRDefault="002349E5">
      <w:pPr>
        <w:pStyle w:val="FootnoteText"/>
        <w:rPr>
          <w:sz w:val="20"/>
        </w:rPr>
      </w:pPr>
      <w:r w:rsidRPr="00AF20B8">
        <w:rPr>
          <w:rStyle w:val="FootnoteReference"/>
          <w:sz w:val="22"/>
          <w:szCs w:val="22"/>
        </w:rPr>
        <w:footnoteRef/>
      </w:r>
      <w:r w:rsidRPr="00AF20B8">
        <w:rPr>
          <w:sz w:val="22"/>
          <w:szCs w:val="22"/>
        </w:rPr>
        <w:t xml:space="preserve"> </w:t>
      </w:r>
      <w:hyperlink r:id="rId1" w:tgtFrame="x" w:tooltip="Clicking this link retrieves the full text document &#10;in another window" w:history="1">
        <w:r w:rsidRPr="00AE07F2">
          <w:rPr>
            <w:rStyle w:val="Hyperlink"/>
            <w:sz w:val="20"/>
          </w:rPr>
          <w:t>Cal Civ. Code § 2983.3</w:t>
        </w:r>
      </w:hyperlink>
      <w:r w:rsidRPr="00AE07F2">
        <w:rPr>
          <w:sz w:val="20"/>
        </w:rPr>
        <w:t xml:space="preserve"> (RLA), prohibits right to reinstate contract under certain circumstances i.e. borrower transfers vehicle to third party, 2</w:t>
      </w:r>
      <w:r w:rsidRPr="00AE07F2">
        <w:rPr>
          <w:sz w:val="20"/>
          <w:vertAlign w:val="superscript"/>
        </w:rPr>
        <w:t>nd</w:t>
      </w:r>
      <w:r w:rsidRPr="00AE07F2">
        <w:rPr>
          <w:sz w:val="20"/>
        </w:rPr>
        <w:t xml:space="preserve"> repo in 12 months. While BK law may override provisions of RLA, they should be argued in respect to confirmation and adequate protection issues. </w:t>
      </w:r>
    </w:p>
  </w:footnote>
  <w:footnote w:id="11">
    <w:p w:rsidR="00985079" w:rsidRPr="00AE07F2" w:rsidRDefault="00985079">
      <w:pPr>
        <w:pStyle w:val="FootnoteText"/>
        <w:rPr>
          <w:sz w:val="20"/>
        </w:rPr>
      </w:pPr>
      <w:r w:rsidRPr="00AE07F2">
        <w:rPr>
          <w:rStyle w:val="FootnoteReference"/>
          <w:sz w:val="20"/>
        </w:rPr>
        <w:footnoteRef/>
      </w:r>
      <w:r w:rsidRPr="00AE07F2">
        <w:rPr>
          <w:sz w:val="20"/>
        </w:rPr>
        <w:t xml:space="preserve"> Applies to loans secured by principal residence, and provided for in plan.</w:t>
      </w:r>
    </w:p>
  </w:footnote>
  <w:footnote w:id="12">
    <w:p w:rsidR="002349E5" w:rsidRPr="00AE07F2" w:rsidRDefault="002349E5" w:rsidP="00F42E71">
      <w:pPr>
        <w:pStyle w:val="FootnoteText"/>
        <w:rPr>
          <w:sz w:val="20"/>
        </w:rPr>
      </w:pPr>
      <w:r w:rsidRPr="00AE07F2">
        <w:rPr>
          <w:rStyle w:val="FootnoteReference"/>
          <w:sz w:val="20"/>
        </w:rPr>
        <w:footnoteRef/>
      </w:r>
      <w:r w:rsidRPr="00AE07F2">
        <w:rPr>
          <w:sz w:val="20"/>
        </w:rPr>
        <w:t xml:space="preserve"> There will be an Official Form to provide the notice.</w:t>
      </w:r>
    </w:p>
  </w:footnote>
  <w:footnote w:id="13">
    <w:p w:rsidR="002349E5" w:rsidRPr="000117C6" w:rsidRDefault="002349E5" w:rsidP="00F42E71">
      <w:pPr>
        <w:pStyle w:val="FootnoteText"/>
        <w:rPr>
          <w:sz w:val="20"/>
        </w:rPr>
      </w:pPr>
      <w:r w:rsidRPr="00AE07F2">
        <w:rPr>
          <w:rStyle w:val="FootnoteReference"/>
          <w:sz w:val="20"/>
        </w:rPr>
        <w:footnoteRef/>
      </w:r>
      <w:r w:rsidRPr="00AE07F2">
        <w:rPr>
          <w:sz w:val="20"/>
        </w:rPr>
        <w:t xml:space="preserve"> See BK Rule 3002.1 (g).</w:t>
      </w:r>
    </w:p>
  </w:footnote>
  <w:footnote w:id="14">
    <w:p w:rsidR="002349E5" w:rsidRPr="000117C6" w:rsidRDefault="002349E5" w:rsidP="00F42E71">
      <w:pPr>
        <w:pStyle w:val="FootnoteText"/>
        <w:rPr>
          <w:sz w:val="20"/>
        </w:rPr>
      </w:pPr>
      <w:r w:rsidRPr="000117C6">
        <w:rPr>
          <w:rStyle w:val="FootnoteReference"/>
          <w:sz w:val="20"/>
        </w:rPr>
        <w:footnoteRef/>
      </w:r>
      <w:r w:rsidRPr="000117C6">
        <w:rPr>
          <w:sz w:val="20"/>
        </w:rPr>
        <w:t xml:space="preserve"> The escrow/impound statement must be prepared in a form consistent with the requirements of nonbankruptcy law. See, e.g., </w:t>
      </w:r>
      <w:hyperlink r:id="rId2" w:history="1">
        <w:r w:rsidRPr="000117C6">
          <w:rPr>
            <w:rStyle w:val="Hyperlink"/>
            <w:sz w:val="20"/>
          </w:rPr>
          <w:t>12 U.S.C. § 2601</w:t>
        </w:r>
      </w:hyperlink>
      <w:r w:rsidRPr="000117C6">
        <w:rPr>
          <w:sz w:val="20"/>
        </w:rPr>
        <w:t xml:space="preserve"> et seq. (Real Estate Settlement Procedure Act). Thus the holder of the claim may provide the escrow account statement using the same form it uses outside of bankruptcy for this purpose.</w:t>
      </w:r>
    </w:p>
  </w:footnote>
  <w:footnote w:id="15">
    <w:p w:rsidR="002349E5" w:rsidRPr="00AF0B58" w:rsidRDefault="002349E5" w:rsidP="00F42E71">
      <w:pPr>
        <w:pStyle w:val="FootnoteText"/>
      </w:pPr>
      <w:r w:rsidRPr="000117C6">
        <w:rPr>
          <w:rStyle w:val="FootnoteReference"/>
          <w:sz w:val="20"/>
        </w:rPr>
        <w:footnoteRef/>
      </w:r>
      <w:r w:rsidRPr="000117C6">
        <w:rPr>
          <w:sz w:val="20"/>
        </w:rPr>
        <w:t xml:space="preserve"> E.G. attorney’s fees, property inspection fees, appraisal fees. if you don’t and seek to get them after the BK, there will be problems, as BK Rule 3002.1 (f) provides a ‘scream or die” on the finality of any amounts due on the claim. There will be an Official Form to provide the notice.</w:t>
      </w:r>
    </w:p>
  </w:footnote>
  <w:footnote w:id="16">
    <w:p w:rsidR="002349E5" w:rsidRPr="008459EF" w:rsidRDefault="002349E5">
      <w:pPr>
        <w:pStyle w:val="FootnoteText"/>
        <w:rPr>
          <w:sz w:val="20"/>
        </w:rPr>
      </w:pPr>
      <w:r w:rsidRPr="008459EF">
        <w:rPr>
          <w:rStyle w:val="FootnoteReference"/>
          <w:sz w:val="20"/>
        </w:rPr>
        <w:footnoteRef/>
      </w:r>
      <w:r w:rsidRPr="008459EF">
        <w:rPr>
          <w:sz w:val="20"/>
        </w:rPr>
        <w:t xml:space="preserve"> See generally 11 USC §362 (c). </w:t>
      </w:r>
    </w:p>
  </w:footnote>
  <w:footnote w:id="17">
    <w:p w:rsidR="002349E5" w:rsidRPr="002F44EB" w:rsidRDefault="002349E5">
      <w:pPr>
        <w:pStyle w:val="FootnoteText"/>
        <w:rPr>
          <w:sz w:val="20"/>
        </w:rPr>
      </w:pPr>
      <w:r w:rsidRPr="002F44EB">
        <w:rPr>
          <w:rStyle w:val="FootnoteReference"/>
          <w:sz w:val="20"/>
        </w:rPr>
        <w:footnoteRef/>
      </w:r>
      <w:r w:rsidRPr="002F44EB">
        <w:rPr>
          <w:sz w:val="20"/>
        </w:rPr>
        <w:t xml:space="preserve"> Generally, there is no equity in a vehicle and “cause” for relief from stay (See above) is the primary issue. Generally, Kelly Blue Book or other online valuation will show value of vehicle.  You should consider each court and requirements to establish valuation separately.</w:t>
      </w:r>
    </w:p>
  </w:footnote>
  <w:footnote w:id="18">
    <w:p w:rsidR="002349E5" w:rsidRPr="002F44EB" w:rsidRDefault="002349E5" w:rsidP="00FE597E">
      <w:pPr>
        <w:pStyle w:val="FootnoteText"/>
        <w:rPr>
          <w:sz w:val="20"/>
        </w:rPr>
      </w:pPr>
      <w:r w:rsidRPr="002F44EB">
        <w:rPr>
          <w:rStyle w:val="FootnoteReference"/>
          <w:sz w:val="20"/>
        </w:rPr>
        <w:footnoteRef/>
      </w:r>
      <w:r w:rsidRPr="002F44EB">
        <w:rPr>
          <w:sz w:val="20"/>
        </w:rPr>
        <w:t xml:space="preserve"> </w:t>
      </w:r>
      <w:r w:rsidRPr="00AE07F2">
        <w:rPr>
          <w:i/>
          <w:sz w:val="20"/>
        </w:rPr>
        <w:t>See generally</w:t>
      </w:r>
      <w:r w:rsidRPr="002F44EB">
        <w:rPr>
          <w:sz w:val="20"/>
        </w:rPr>
        <w:t xml:space="preserve"> 11 USC §362 (c). </w:t>
      </w:r>
    </w:p>
  </w:footnote>
  <w:footnote w:id="19">
    <w:p w:rsidR="002349E5" w:rsidRDefault="002349E5">
      <w:pPr>
        <w:pStyle w:val="FootnoteText"/>
      </w:pPr>
      <w:r w:rsidRPr="002F44EB">
        <w:rPr>
          <w:rStyle w:val="FootnoteReference"/>
          <w:sz w:val="20"/>
        </w:rPr>
        <w:footnoteRef/>
      </w:r>
      <w:r w:rsidRPr="002F44EB">
        <w:rPr>
          <w:sz w:val="20"/>
        </w:rPr>
        <w:t xml:space="preserve"> Can use Debtor’s schedules, appraisal, BPO etc.  You should consider each court and requirements separately</w:t>
      </w:r>
      <w:r w:rsidRPr="00FE597E">
        <w:rPr>
          <w:sz w:val="22"/>
          <w:szCs w:val="22"/>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D" w:rsidRDefault="00DF0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D" w:rsidRDefault="00DF0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D" w:rsidRDefault="00DF0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E9F"/>
    <w:multiLevelType w:val="hybridMultilevel"/>
    <w:tmpl w:val="F60E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B5051"/>
    <w:multiLevelType w:val="hybridMultilevel"/>
    <w:tmpl w:val="D56C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133A4"/>
    <w:multiLevelType w:val="hybridMultilevel"/>
    <w:tmpl w:val="CCF437EA"/>
    <w:lvl w:ilvl="0" w:tplc="A9D6F256">
      <w:start w:val="2"/>
      <w:numFmt w:val="decimal"/>
      <w:lvlText w:val="%1."/>
      <w:lvlJc w:val="left"/>
      <w:pPr>
        <w:ind w:left="1080" w:hanging="360"/>
      </w:pPr>
      <w:rPr>
        <w:rFonts w:hint="default"/>
        <w:b/>
        <w:u w:val="none"/>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71A4E"/>
    <w:multiLevelType w:val="hybridMultilevel"/>
    <w:tmpl w:val="1D661780"/>
    <w:lvl w:ilvl="0" w:tplc="C4D0142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DB1C64"/>
    <w:multiLevelType w:val="hybridMultilevel"/>
    <w:tmpl w:val="C40A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418AF"/>
    <w:multiLevelType w:val="hybridMultilevel"/>
    <w:tmpl w:val="375E8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5265FB"/>
    <w:multiLevelType w:val="hybridMultilevel"/>
    <w:tmpl w:val="23F8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B1FCD"/>
    <w:multiLevelType w:val="hybridMultilevel"/>
    <w:tmpl w:val="B5CE474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F3948A5"/>
    <w:multiLevelType w:val="hybridMultilevel"/>
    <w:tmpl w:val="64385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BB2167"/>
    <w:multiLevelType w:val="hybridMultilevel"/>
    <w:tmpl w:val="6212BC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1761A98"/>
    <w:multiLevelType w:val="hybridMultilevel"/>
    <w:tmpl w:val="C3B2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F6086"/>
    <w:multiLevelType w:val="hybridMultilevel"/>
    <w:tmpl w:val="7BA0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445FA"/>
    <w:multiLevelType w:val="hybridMultilevel"/>
    <w:tmpl w:val="F9ACD6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A1A65"/>
    <w:multiLevelType w:val="hybridMultilevel"/>
    <w:tmpl w:val="390C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8D649D"/>
    <w:multiLevelType w:val="hybridMultilevel"/>
    <w:tmpl w:val="70B41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10627A"/>
    <w:multiLevelType w:val="hybridMultilevel"/>
    <w:tmpl w:val="165E8D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FB0778"/>
    <w:multiLevelType w:val="hybridMultilevel"/>
    <w:tmpl w:val="EF24ECA8"/>
    <w:lvl w:ilvl="0" w:tplc="A5C60B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428D7"/>
    <w:multiLevelType w:val="hybridMultilevel"/>
    <w:tmpl w:val="505EA68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1F06FFA"/>
    <w:multiLevelType w:val="hybridMultilevel"/>
    <w:tmpl w:val="E0D25BEA"/>
    <w:lvl w:ilvl="0" w:tplc="F3966D7E">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45EC4"/>
    <w:multiLevelType w:val="hybridMultilevel"/>
    <w:tmpl w:val="98C2E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255844"/>
    <w:multiLevelType w:val="hybridMultilevel"/>
    <w:tmpl w:val="F036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3"/>
  </w:num>
  <w:num w:numId="4">
    <w:abstractNumId w:val="12"/>
  </w:num>
  <w:num w:numId="5">
    <w:abstractNumId w:val="18"/>
  </w:num>
  <w:num w:numId="6">
    <w:abstractNumId w:val="9"/>
  </w:num>
  <w:num w:numId="7">
    <w:abstractNumId w:val="7"/>
  </w:num>
  <w:num w:numId="8">
    <w:abstractNumId w:val="5"/>
  </w:num>
  <w:num w:numId="9">
    <w:abstractNumId w:val="14"/>
  </w:num>
  <w:num w:numId="10">
    <w:abstractNumId w:val="1"/>
  </w:num>
  <w:num w:numId="11">
    <w:abstractNumId w:val="8"/>
  </w:num>
  <w:num w:numId="12">
    <w:abstractNumId w:val="20"/>
  </w:num>
  <w:num w:numId="13">
    <w:abstractNumId w:val="19"/>
  </w:num>
  <w:num w:numId="14">
    <w:abstractNumId w:val="4"/>
  </w:num>
  <w:num w:numId="15">
    <w:abstractNumId w:val="10"/>
  </w:num>
  <w:num w:numId="16">
    <w:abstractNumId w:val="13"/>
  </w:num>
  <w:num w:numId="17">
    <w:abstractNumId w:val="2"/>
  </w:num>
  <w:num w:numId="18">
    <w:abstractNumId w:val="17"/>
  </w:num>
  <w:num w:numId="19">
    <w:abstractNumId w:val="0"/>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8F"/>
    <w:rsid w:val="000117C6"/>
    <w:rsid w:val="000344D8"/>
    <w:rsid w:val="00060E69"/>
    <w:rsid w:val="000B0260"/>
    <w:rsid w:val="000E0A2F"/>
    <w:rsid w:val="00116DB4"/>
    <w:rsid w:val="00136D8B"/>
    <w:rsid w:val="0014287D"/>
    <w:rsid w:val="001B38B7"/>
    <w:rsid w:val="001B3F1C"/>
    <w:rsid w:val="001E7F3A"/>
    <w:rsid w:val="002060B8"/>
    <w:rsid w:val="00230192"/>
    <w:rsid w:val="002349E5"/>
    <w:rsid w:val="00262A57"/>
    <w:rsid w:val="002B160D"/>
    <w:rsid w:val="002E3589"/>
    <w:rsid w:val="002F05DF"/>
    <w:rsid w:val="002F44EB"/>
    <w:rsid w:val="003047D8"/>
    <w:rsid w:val="00356ABC"/>
    <w:rsid w:val="0037098B"/>
    <w:rsid w:val="003A7E04"/>
    <w:rsid w:val="00400B47"/>
    <w:rsid w:val="00453E21"/>
    <w:rsid w:val="0046209D"/>
    <w:rsid w:val="0046237C"/>
    <w:rsid w:val="00494126"/>
    <w:rsid w:val="004A1902"/>
    <w:rsid w:val="004C73C8"/>
    <w:rsid w:val="004D2E49"/>
    <w:rsid w:val="00522DD2"/>
    <w:rsid w:val="00523D1C"/>
    <w:rsid w:val="005C3BD1"/>
    <w:rsid w:val="005E237C"/>
    <w:rsid w:val="00603B12"/>
    <w:rsid w:val="0061118F"/>
    <w:rsid w:val="00615F35"/>
    <w:rsid w:val="00672C93"/>
    <w:rsid w:val="006A00EA"/>
    <w:rsid w:val="006D13F2"/>
    <w:rsid w:val="006E5435"/>
    <w:rsid w:val="0072056C"/>
    <w:rsid w:val="00792767"/>
    <w:rsid w:val="007F2A42"/>
    <w:rsid w:val="00841D5E"/>
    <w:rsid w:val="008459EF"/>
    <w:rsid w:val="00892733"/>
    <w:rsid w:val="008A0038"/>
    <w:rsid w:val="008E730E"/>
    <w:rsid w:val="00943B69"/>
    <w:rsid w:val="00971729"/>
    <w:rsid w:val="00976B1D"/>
    <w:rsid w:val="00980AC7"/>
    <w:rsid w:val="00985079"/>
    <w:rsid w:val="009A36D1"/>
    <w:rsid w:val="009B2D2A"/>
    <w:rsid w:val="009B4B7E"/>
    <w:rsid w:val="009F28FA"/>
    <w:rsid w:val="009F30EA"/>
    <w:rsid w:val="00A01543"/>
    <w:rsid w:val="00A126E4"/>
    <w:rsid w:val="00A60D62"/>
    <w:rsid w:val="00A669F5"/>
    <w:rsid w:val="00A77564"/>
    <w:rsid w:val="00A942AB"/>
    <w:rsid w:val="00A9637B"/>
    <w:rsid w:val="00A97D93"/>
    <w:rsid w:val="00AC3751"/>
    <w:rsid w:val="00AE07F2"/>
    <w:rsid w:val="00AF20B8"/>
    <w:rsid w:val="00B0125E"/>
    <w:rsid w:val="00B06987"/>
    <w:rsid w:val="00B150AB"/>
    <w:rsid w:val="00B31E2C"/>
    <w:rsid w:val="00BD0A11"/>
    <w:rsid w:val="00C1312D"/>
    <w:rsid w:val="00C2180E"/>
    <w:rsid w:val="00C37D71"/>
    <w:rsid w:val="00C51AB2"/>
    <w:rsid w:val="00C55997"/>
    <w:rsid w:val="00C623FB"/>
    <w:rsid w:val="00C84ADF"/>
    <w:rsid w:val="00CF7534"/>
    <w:rsid w:val="00D723CA"/>
    <w:rsid w:val="00DB68BE"/>
    <w:rsid w:val="00DC3E67"/>
    <w:rsid w:val="00DD567F"/>
    <w:rsid w:val="00DE12E8"/>
    <w:rsid w:val="00DF08BD"/>
    <w:rsid w:val="00E11EA4"/>
    <w:rsid w:val="00E145AC"/>
    <w:rsid w:val="00E66FC4"/>
    <w:rsid w:val="00E81FBD"/>
    <w:rsid w:val="00EA001C"/>
    <w:rsid w:val="00F1692C"/>
    <w:rsid w:val="00F24401"/>
    <w:rsid w:val="00F247EF"/>
    <w:rsid w:val="00F42E71"/>
    <w:rsid w:val="00F43F32"/>
    <w:rsid w:val="00F7311C"/>
    <w:rsid w:val="00FE2ADB"/>
    <w:rsid w:val="00FE597E"/>
    <w:rsid w:val="00FF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8F"/>
    <w:rPr>
      <w:rFonts w:ascii="Calibri" w:eastAsia="Calibri" w:hAnsi="Calibri" w:cs="Times New Roman"/>
    </w:rPr>
  </w:style>
  <w:style w:type="paragraph" w:styleId="Heading2">
    <w:name w:val="heading 2"/>
    <w:basedOn w:val="Normal"/>
    <w:link w:val="Heading2Char"/>
    <w:uiPriority w:val="9"/>
    <w:unhideWhenUsed/>
    <w:qFormat/>
    <w:rsid w:val="002F44E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18F"/>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61118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6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09D"/>
    <w:rPr>
      <w:rFonts w:ascii="Tahoma" w:eastAsia="Calibri" w:hAnsi="Tahoma" w:cs="Tahoma"/>
      <w:sz w:val="16"/>
      <w:szCs w:val="16"/>
    </w:rPr>
  </w:style>
  <w:style w:type="paragraph" w:styleId="FootnoteText">
    <w:name w:val="footnote text"/>
    <w:basedOn w:val="Normal"/>
    <w:link w:val="FootnoteTextChar"/>
    <w:rsid w:val="00A60D62"/>
    <w:pPr>
      <w:spacing w:after="0" w:line="240" w:lineRule="auto"/>
    </w:pPr>
    <w:rPr>
      <w:rFonts w:ascii="Times New Roman" w:eastAsia="Times New Roman" w:hAnsi="Times New Roman"/>
      <w:sz w:val="24"/>
      <w:szCs w:val="20"/>
    </w:rPr>
  </w:style>
  <w:style w:type="character" w:customStyle="1" w:styleId="FootnoteTextChar">
    <w:name w:val="Footnote Text Char"/>
    <w:basedOn w:val="DefaultParagraphFont"/>
    <w:link w:val="FootnoteText"/>
    <w:rsid w:val="00A60D62"/>
    <w:rPr>
      <w:rFonts w:ascii="Times New Roman" w:eastAsia="Times New Roman" w:hAnsi="Times New Roman" w:cs="Times New Roman"/>
      <w:sz w:val="24"/>
      <w:szCs w:val="20"/>
    </w:rPr>
  </w:style>
  <w:style w:type="paragraph" w:styleId="ListParagraph">
    <w:name w:val="List Paragraph"/>
    <w:basedOn w:val="Normal"/>
    <w:uiPriority w:val="34"/>
    <w:qFormat/>
    <w:rsid w:val="000E0A2F"/>
    <w:pPr>
      <w:ind w:left="720"/>
      <w:contextualSpacing/>
    </w:pPr>
  </w:style>
  <w:style w:type="table" w:styleId="TableGrid">
    <w:name w:val="Table Grid"/>
    <w:basedOn w:val="TableNormal"/>
    <w:uiPriority w:val="59"/>
    <w:rsid w:val="002F05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53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E21"/>
    <w:rPr>
      <w:rFonts w:ascii="Calibri" w:eastAsia="Calibri" w:hAnsi="Calibri" w:cs="Times New Roman"/>
    </w:rPr>
  </w:style>
  <w:style w:type="character" w:styleId="FootnoteReference">
    <w:name w:val="footnote reference"/>
    <w:basedOn w:val="DefaultParagraphFont"/>
    <w:uiPriority w:val="99"/>
    <w:unhideWhenUsed/>
    <w:rsid w:val="00C2180E"/>
    <w:rPr>
      <w:vertAlign w:val="superscript"/>
    </w:rPr>
  </w:style>
  <w:style w:type="character" w:styleId="Hyperlink">
    <w:name w:val="Hyperlink"/>
    <w:basedOn w:val="DefaultParagraphFont"/>
    <w:uiPriority w:val="99"/>
    <w:unhideWhenUsed/>
    <w:rsid w:val="00D723CA"/>
    <w:rPr>
      <w:color w:val="0000FF"/>
      <w:u w:val="single"/>
    </w:rPr>
  </w:style>
  <w:style w:type="character" w:customStyle="1" w:styleId="term">
    <w:name w:val="term"/>
    <w:basedOn w:val="DefaultParagraphFont"/>
    <w:rsid w:val="00D723CA"/>
  </w:style>
  <w:style w:type="paragraph" w:styleId="NormalWeb">
    <w:name w:val="Normal (Web)"/>
    <w:basedOn w:val="Normal"/>
    <w:uiPriority w:val="99"/>
    <w:unhideWhenUsed/>
    <w:rsid w:val="00F7311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F44E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8F"/>
    <w:rPr>
      <w:rFonts w:ascii="Calibri" w:eastAsia="Calibri" w:hAnsi="Calibri" w:cs="Times New Roman"/>
    </w:rPr>
  </w:style>
  <w:style w:type="paragraph" w:styleId="Heading2">
    <w:name w:val="heading 2"/>
    <w:basedOn w:val="Normal"/>
    <w:link w:val="Heading2Char"/>
    <w:uiPriority w:val="9"/>
    <w:unhideWhenUsed/>
    <w:qFormat/>
    <w:rsid w:val="002F44E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18F"/>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61118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6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09D"/>
    <w:rPr>
      <w:rFonts w:ascii="Tahoma" w:eastAsia="Calibri" w:hAnsi="Tahoma" w:cs="Tahoma"/>
      <w:sz w:val="16"/>
      <w:szCs w:val="16"/>
    </w:rPr>
  </w:style>
  <w:style w:type="paragraph" w:styleId="FootnoteText">
    <w:name w:val="footnote text"/>
    <w:basedOn w:val="Normal"/>
    <w:link w:val="FootnoteTextChar"/>
    <w:rsid w:val="00A60D62"/>
    <w:pPr>
      <w:spacing w:after="0" w:line="240" w:lineRule="auto"/>
    </w:pPr>
    <w:rPr>
      <w:rFonts w:ascii="Times New Roman" w:eastAsia="Times New Roman" w:hAnsi="Times New Roman"/>
      <w:sz w:val="24"/>
      <w:szCs w:val="20"/>
    </w:rPr>
  </w:style>
  <w:style w:type="character" w:customStyle="1" w:styleId="FootnoteTextChar">
    <w:name w:val="Footnote Text Char"/>
    <w:basedOn w:val="DefaultParagraphFont"/>
    <w:link w:val="FootnoteText"/>
    <w:rsid w:val="00A60D62"/>
    <w:rPr>
      <w:rFonts w:ascii="Times New Roman" w:eastAsia="Times New Roman" w:hAnsi="Times New Roman" w:cs="Times New Roman"/>
      <w:sz w:val="24"/>
      <w:szCs w:val="20"/>
    </w:rPr>
  </w:style>
  <w:style w:type="paragraph" w:styleId="ListParagraph">
    <w:name w:val="List Paragraph"/>
    <w:basedOn w:val="Normal"/>
    <w:uiPriority w:val="34"/>
    <w:qFormat/>
    <w:rsid w:val="000E0A2F"/>
    <w:pPr>
      <w:ind w:left="720"/>
      <w:contextualSpacing/>
    </w:pPr>
  </w:style>
  <w:style w:type="table" w:styleId="TableGrid">
    <w:name w:val="Table Grid"/>
    <w:basedOn w:val="TableNormal"/>
    <w:uiPriority w:val="59"/>
    <w:rsid w:val="002F05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53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E21"/>
    <w:rPr>
      <w:rFonts w:ascii="Calibri" w:eastAsia="Calibri" w:hAnsi="Calibri" w:cs="Times New Roman"/>
    </w:rPr>
  </w:style>
  <w:style w:type="character" w:styleId="FootnoteReference">
    <w:name w:val="footnote reference"/>
    <w:basedOn w:val="DefaultParagraphFont"/>
    <w:uiPriority w:val="99"/>
    <w:unhideWhenUsed/>
    <w:rsid w:val="00C2180E"/>
    <w:rPr>
      <w:vertAlign w:val="superscript"/>
    </w:rPr>
  </w:style>
  <w:style w:type="character" w:styleId="Hyperlink">
    <w:name w:val="Hyperlink"/>
    <w:basedOn w:val="DefaultParagraphFont"/>
    <w:uiPriority w:val="99"/>
    <w:unhideWhenUsed/>
    <w:rsid w:val="00D723CA"/>
    <w:rPr>
      <w:color w:val="0000FF"/>
      <w:u w:val="single"/>
    </w:rPr>
  </w:style>
  <w:style w:type="character" w:customStyle="1" w:styleId="term">
    <w:name w:val="term"/>
    <w:basedOn w:val="DefaultParagraphFont"/>
    <w:rsid w:val="00D723CA"/>
  </w:style>
  <w:style w:type="paragraph" w:styleId="NormalWeb">
    <w:name w:val="Normal (Web)"/>
    <w:basedOn w:val="Normal"/>
    <w:uiPriority w:val="99"/>
    <w:unhideWhenUsed/>
    <w:rsid w:val="00F7311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F44E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xis.com/research/buttonTFLink?_m=2d365e16e06653b54b04d4967678cada&amp;_xfercite=%3ccite%20cc%3d%22USA%22%3e%3c%21%5bCDATA%5b248%20B.R.%20820%5d%5d%3e%3c%2fcite%3e&amp;_butType=4&amp;_butStat=0&amp;_butNum=60&amp;_butInline=1&amp;_butinfo=CAL.%20CIV.%20CODE%202924H&amp;_fmtstr=FULL&amp;docnum=1&amp;_startdoc=1&amp;wchp=dGLzVzB-zSkAb&amp;_md5=a8ebb73dabc2fc24d64e306a63d35fe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dbaby.com/cd/factor1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xis.com/research/buttonTFLink?_m=cc98a4a80ee597f4ed2ed7eb2b375cca&amp;_xfercite=%3ccite%20cc%3d%22USA%22%3e%3c%21%5bCDATA%5bUSCS%20Bankruptcy%20R%203001%5d%5d%3e%3c%2fcite%3e&amp;_butType=4&amp;_butStat=0&amp;_butNum=8&amp;_butInline=1&amp;_butinfo=12%20USC%202601&amp;_fmtstr=FULL&amp;docnum=1&amp;_startdoc=1&amp;wchp=dGLzVzB-zSkAb&amp;_md5=2f26930d4f39e250577aa78c8ecf0708" TargetMode="External"/><Relationship Id="rId1" Type="http://schemas.openxmlformats.org/officeDocument/2006/relationships/hyperlink" Target="http://www.lexis.com/research/xlink?app=00075&amp;view=full&amp;searchtype=get&amp;search=Cal+Civ+Code+%A7+29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20A5-931D-4AF0-BD6B-32B1D8DB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Scheer</dc:creator>
  <cp:lastModifiedBy>Spencer Scheer</cp:lastModifiedBy>
  <cp:revision>2</cp:revision>
  <cp:lastPrinted>2014-03-12T21:46:00Z</cp:lastPrinted>
  <dcterms:created xsi:type="dcterms:W3CDTF">2014-07-07T17:56:00Z</dcterms:created>
  <dcterms:modified xsi:type="dcterms:W3CDTF">2014-07-07T17:56:00Z</dcterms:modified>
</cp:coreProperties>
</file>